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Metaphor    </w:t>
      </w:r>
      <w:r>
        <w:t xml:space="preserve">   Simile    </w:t>
      </w:r>
      <w:r>
        <w:t xml:space="preserve">   Rhyme    </w:t>
      </w:r>
      <w:r>
        <w:t xml:space="preserve">   Repetition    </w:t>
      </w:r>
      <w:r>
        <w:t xml:space="preserve">   Personification    </w:t>
      </w:r>
      <w:r>
        <w:t xml:space="preserve">   Onomatopoeia    </w:t>
      </w:r>
      <w:r>
        <w:t xml:space="preserve">   Consonance    </w:t>
      </w:r>
      <w:r>
        <w:t xml:space="preserve">   Allusion    </w:t>
      </w:r>
      <w:r>
        <w:t xml:space="preserve">   Assonance    </w:t>
      </w:r>
      <w:r>
        <w:t xml:space="preserve">   Alliteration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2021-10-11T14:34:49Z</dcterms:created>
  <dcterms:modified xsi:type="dcterms:W3CDTF">2021-10-11T14:34:49Z</dcterms:modified>
</cp:coreProperties>
</file>