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Sovereignty and the Preamble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Posterity    </w:t>
      </w:r>
      <w:r>
        <w:t xml:space="preserve">   Blessings of Liberty    </w:t>
      </w:r>
      <w:r>
        <w:t xml:space="preserve">   Welfare    </w:t>
      </w:r>
      <w:r>
        <w:t xml:space="preserve">   Common Defense    </w:t>
      </w:r>
      <w:r>
        <w:t xml:space="preserve">   Domestic    </w:t>
      </w:r>
      <w:r>
        <w:t xml:space="preserve">   Tranquility    </w:t>
      </w:r>
      <w:r>
        <w:t xml:space="preserve">   Justice    </w:t>
      </w:r>
      <w:r>
        <w:t xml:space="preserve">   Union    </w:t>
      </w:r>
      <w:r>
        <w:t xml:space="preserve">   Preamble    </w:t>
      </w:r>
      <w:r>
        <w:t xml:space="preserve">   Popular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Sovereignty and the Preamble </dc:title>
  <dcterms:created xsi:type="dcterms:W3CDTF">2021-10-11T14:39:57Z</dcterms:created>
  <dcterms:modified xsi:type="dcterms:W3CDTF">2021-10-11T14:39:57Z</dcterms:modified>
</cp:coreProperties>
</file>