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Potential Risk Factors for Vulnerability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learningdifficulties    </w:t>
      </w:r>
      <w:r>
        <w:t xml:space="preserve">   substancemisuse    </w:t>
      </w:r>
      <w:r>
        <w:t xml:space="preserve">   policeinvolvement    </w:t>
      </w:r>
      <w:r>
        <w:t xml:space="preserve">   offendingbehaviour    </w:t>
      </w:r>
      <w:r>
        <w:t xml:space="preserve">   mentalhealthissues    </w:t>
      </w:r>
      <w:r>
        <w:t xml:space="preserve">   domesticviolence    </w:t>
      </w:r>
      <w:r>
        <w:t xml:space="preserve">   refugeebackground    </w:t>
      </w:r>
      <w:r>
        <w:t xml:space="preserve">   aboriginality    </w:t>
      </w:r>
      <w:r>
        <w:t xml:space="preserve">   loweducationalattainment    </w:t>
      </w:r>
      <w:r>
        <w:t xml:space="preserve">   parentalunemployment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Risk Factors for Vulnerability</dc:title>
  <dcterms:created xsi:type="dcterms:W3CDTF">2021-10-11T14:42:53Z</dcterms:created>
  <dcterms:modified xsi:type="dcterms:W3CDTF">2021-10-11T14:42:53Z</dcterms:modified>
</cp:coreProperties>
</file>