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Preaching methods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Business territory    </w:t>
      </w:r>
      <w:r>
        <w:t xml:space="preserve">   Foreign language    </w:t>
      </w:r>
      <w:r>
        <w:t xml:space="preserve">   Housetohouse    </w:t>
      </w:r>
      <w:r>
        <w:t xml:space="preserve">   Informal    </w:t>
      </w:r>
      <w:r>
        <w:t xml:space="preserve">   Letter    </w:t>
      </w:r>
      <w:r>
        <w:t xml:space="preserve">   Park    </w:t>
      </w:r>
      <w:r>
        <w:t xml:space="preserve">   Prison    </w:t>
      </w:r>
      <w:r>
        <w:t xml:space="preserve">   Shiptoship    </w:t>
      </w:r>
      <w:r>
        <w:t xml:space="preserve">   Street work    </w:t>
      </w:r>
      <w:r>
        <w:t xml:space="preserve">   Telephone    </w:t>
      </w:r>
      <w:r>
        <w:t xml:space="preserve">   Trolley    </w:t>
      </w:r>
      <w:r>
        <w:t xml:space="preserve">   Vacation witnessing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Preaching methods</dc:title>
  <dcterms:created xsi:type="dcterms:W3CDTF">2021-10-11T14:44:27Z</dcterms:created>
  <dcterms:modified xsi:type="dcterms:W3CDTF">2021-10-11T14:44:27Z</dcterms:modified>
</cp:coreProperties>
</file>