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pathogens    </w:t>
      </w:r>
      <w:r>
        <w:t xml:space="preserve">   food    </w:t>
      </w:r>
      <w:r>
        <w:t xml:space="preserve">   vector    </w:t>
      </w:r>
      <w:r>
        <w:t xml:space="preserve">   droplets    </w:t>
      </w:r>
      <w:r>
        <w:t xml:space="preserve">   airborne    </w:t>
      </w:r>
      <w:r>
        <w:t xml:space="preserve">   opportunistic    </w:t>
      </w:r>
      <w:r>
        <w:t xml:space="preserve">   nosocomial    </w:t>
      </w:r>
      <w:r>
        <w:t xml:space="preserve">   chain of infection    </w:t>
      </w:r>
      <w:r>
        <w:t xml:space="preserve">   communicable    </w:t>
      </w:r>
      <w:r>
        <w:t xml:space="preserve">   infectious    </w:t>
      </w:r>
      <w:r>
        <w:t xml:space="preserve">   endogenous    </w:t>
      </w:r>
      <w:r>
        <w:t xml:space="preserve">   exogenous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Infection Control</dc:title>
  <dcterms:created xsi:type="dcterms:W3CDTF">2021-10-11T14:52:43Z</dcterms:created>
  <dcterms:modified xsi:type="dcterms:W3CDTF">2021-10-11T14:52:43Z</dcterms:modified>
</cp:coreProperties>
</file>