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variable costs    </w:t>
      </w:r>
      <w:r>
        <w:t xml:space="preserve">   Break even point    </w:t>
      </w:r>
      <w:r>
        <w:t xml:space="preserve">   opportunities    </w:t>
      </w:r>
      <w:r>
        <w:t xml:space="preserve">   surveys    </w:t>
      </w:r>
      <w:r>
        <w:t xml:space="preserve">   brainstorming    </w:t>
      </w:r>
      <w:r>
        <w:t xml:space="preserve">   upcycling    </w:t>
      </w:r>
      <w:r>
        <w:t xml:space="preserve">   recycling    </w:t>
      </w:r>
      <w:r>
        <w:t xml:space="preserve">   swotanalysis    </w:t>
      </w:r>
      <w:r>
        <w:t xml:space="preserve">   needs analysis    </w:t>
      </w:r>
      <w:r>
        <w:t xml:space="preserve">   TargetMarket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revolution</dc:title>
  <dcterms:created xsi:type="dcterms:W3CDTF">2021-10-11T14:54:31Z</dcterms:created>
  <dcterms:modified xsi:type="dcterms:W3CDTF">2021-10-11T14:54:31Z</dcterms:modified>
</cp:coreProperties>
</file>