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COMPETENCY    </w:t>
      </w:r>
      <w:r>
        <w:t xml:space="preserve">   KING CODE    </w:t>
      </w:r>
      <w:r>
        <w:t xml:space="preserve">   RESPONSIBLE    </w:t>
      </w:r>
      <w:r>
        <w:t xml:space="preserve">   BUSINESS PRACTICE    </w:t>
      </w:r>
      <w:r>
        <w:t xml:space="preserve">   COMMON GOOD    </w:t>
      </w:r>
      <w:r>
        <w:t xml:space="preserve">   RIGHTS APPROACH    </w:t>
      </w:r>
      <w:r>
        <w:t xml:space="preserve">   PRINCIPLES    </w:t>
      </w:r>
      <w:r>
        <w:t xml:space="preserve">   PROFESSIONALISM    </w:t>
      </w:r>
      <w:r>
        <w:t xml:space="preserve">   DEEP THEORY    </w:t>
      </w:r>
      <w:r>
        <w:t xml:space="preserve">   CODE OF ETHICS    </w:t>
      </w:r>
      <w:r>
        <w:t xml:space="preserve">   CODE OF CONDUCT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and Ethics</dc:title>
  <dcterms:created xsi:type="dcterms:W3CDTF">2021-10-11T14:54:48Z</dcterms:created>
  <dcterms:modified xsi:type="dcterms:W3CDTF">2021-10-11T14:54:48Z</dcterms:modified>
</cp:coreProperties>
</file>