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Property Crimes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Any willful or malicious burning or attempting to burn with/without intent to defraud, a dwelling, public building, motor vehicle or aircraft</w:t>
            </w:r>
          </w:p>
          <w:p>
            <w:pPr>
              <w:keepLines/>
              <w:pStyle w:val="CluesTiny"/>
            </w:pPr>
            <w:r>
              <w:rPr>
                <w:b w:val="true"/>
                <w:bCs w:val="true"/>
              </w:rPr>
              <w:t xml:space="preserve">6. </w:t>
            </w:r>
            <w:r>
              <w:t xml:space="preserve">Items associated with notable events and, therefore, worthy of being remembered; souvenirs</w:t>
            </w:r>
          </w:p>
          <w:p>
            <w:pPr>
              <w:keepLines/>
              <w:pStyle w:val="CluesTiny"/>
            </w:pPr>
            <w:r>
              <w:rPr>
                <w:b w:val="true"/>
                <w:bCs w:val="true"/>
              </w:rPr>
              <w:t xml:space="preserve">7. </w:t>
            </w:r>
            <w:r>
              <w:t xml:space="preserve">The amount an  insured person is responsible for before an insurance company will make a payment</w:t>
            </w:r>
          </w:p>
          <w:p>
            <w:pPr>
              <w:keepLines/>
              <w:pStyle w:val="CluesTiny"/>
            </w:pPr>
            <w:r>
              <w:rPr>
                <w:b w:val="true"/>
                <w:bCs w:val="true"/>
              </w:rPr>
              <w:t xml:space="preserve">8. </w:t>
            </w:r>
            <w:r>
              <w:t xml:space="preserve">The use of fear of death, injury, property loss, or reputation to induce or compel another to deliver property or perform some act or mission</w:t>
            </w:r>
          </w:p>
          <w:p>
            <w:pPr>
              <w:keepLines/>
              <w:pStyle w:val="CluesTiny"/>
            </w:pPr>
            <w:r>
              <w:rPr>
                <w:b w:val="true"/>
                <w:bCs w:val="true"/>
              </w:rPr>
              <w:t xml:space="preserve">9. </w:t>
            </w:r>
            <w:r>
              <w:t xml:space="preserve">the unlawful entry of a structure to commit a felony or theft</w:t>
            </w:r>
          </w:p>
          <w:p>
            <w:pPr>
              <w:keepLines/>
              <w:pStyle w:val="CluesTiny"/>
            </w:pPr>
            <w:r>
              <w:rPr>
                <w:b w:val="true"/>
                <w:bCs w:val="true"/>
              </w:rPr>
              <w:t xml:space="preserve">10. </w:t>
            </w:r>
            <w:r>
              <w:t xml:space="preserve">the unlawful misappropriation or misapplication by an offender to his/her own use or purpose of money, property, or some other thing of value entrusted to his/her care, custody or control</w:t>
            </w:r>
          </w:p>
        </w:tc>
        <w:tc>
          <w:p>
            <w:pPr>
              <w:pStyle w:val="CluesTiny"/>
            </w:pPr>
            <w:r>
              <w:rPr>
                <w:b w:val="true"/>
                <w:bCs w:val="true"/>
              </w:rPr>
              <w:t xml:space="preserve">Down</w:t>
            </w:r>
          </w:p>
          <w:p>
            <w:pPr>
              <w:keepLines/>
              <w:pStyle w:val="CluesTiny"/>
            </w:pPr>
            <w:r>
              <w:rPr>
                <w:b w:val="true"/>
                <w:bCs w:val="true"/>
              </w:rPr>
              <w:t xml:space="preserve">1. </w:t>
            </w:r>
            <w:r>
              <w:t xml:space="preserve">The vaule some places on an object because of personal or emotional associations rather than material worth</w:t>
            </w:r>
          </w:p>
          <w:p>
            <w:pPr>
              <w:keepLines/>
              <w:pStyle w:val="CluesTiny"/>
            </w:pPr>
            <w:r>
              <w:rPr>
                <w:b w:val="true"/>
                <w:bCs w:val="true"/>
              </w:rPr>
              <w:t xml:space="preserve">2. </w:t>
            </w:r>
            <w:r>
              <w:t xml:space="preserve">to willfully or maliciously destroy, injure, disfigure, or deface any public or private property, real or personal without the consent of the owner or person having custody or control by cutting, tearing, breaking, marking, painting, drawing, covering with filth, or other means as may be specified by local law</w:t>
            </w:r>
          </w:p>
          <w:p>
            <w:pPr>
              <w:keepLines/>
              <w:pStyle w:val="CluesTiny"/>
            </w:pPr>
            <w:r>
              <w:rPr>
                <w:b w:val="true"/>
                <w:bCs w:val="true"/>
              </w:rPr>
              <w:t xml:space="preserve">3. </w:t>
            </w:r>
            <w:r>
              <w:t xml:space="preserve">Something that cannot be replaced if lost or damaged</w:t>
            </w:r>
          </w:p>
          <w:p>
            <w:pPr>
              <w:keepLines/>
              <w:pStyle w:val="CluesTiny"/>
            </w:pPr>
            <w:r>
              <w:rPr>
                <w:b w:val="true"/>
                <w:bCs w:val="true"/>
              </w:rPr>
              <w:t xml:space="preserve">5. </w:t>
            </w:r>
            <w:r>
              <w:t xml:space="preserve">the unlawful taking, caring, leading or riding away of property from the possession or constructive possession of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Crimes</dc:title>
  <dcterms:created xsi:type="dcterms:W3CDTF">2021-10-11T14:56:18Z</dcterms:created>
  <dcterms:modified xsi:type="dcterms:W3CDTF">2021-10-11T14:56:18Z</dcterms:modified>
</cp:coreProperties>
</file>