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anton messer    </w:t>
      </w:r>
      <w:r>
        <w:t xml:space="preserve">   cataplexy    </w:t>
      </w:r>
      <w:r>
        <w:t xml:space="preserve">   Freud    </w:t>
      </w:r>
      <w:r>
        <w:t xml:space="preserve">   hypnosis    </w:t>
      </w:r>
      <w:r>
        <w:t xml:space="preserve">   insomnia    </w:t>
      </w:r>
      <w:r>
        <w:t xml:space="preserve">   lucid dreaming    </w:t>
      </w:r>
      <w:r>
        <w:t xml:space="preserve">   narcolepsy    </w:t>
      </w:r>
      <w:r>
        <w:t xml:space="preserve">   neodissociation    </w:t>
      </w:r>
      <w:r>
        <w:t xml:space="preserve">   rem    </w:t>
      </w:r>
      <w:r>
        <w:t xml:space="preserve">   sleep apnea    </w:t>
      </w:r>
      <w:r>
        <w:t xml:space="preserve">   tetrodotoxin (ttx)    </w:t>
      </w:r>
      <w:r>
        <w:t xml:space="preserve">   wishfulfillment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2021-10-11T14:59:44Z</dcterms:created>
  <dcterms:modified xsi:type="dcterms:W3CDTF">2021-10-11T14:59:44Z</dcterms:modified>
</cp:coreProperties>
</file>