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Qualitative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richness    </w:t>
      </w:r>
      <w:r>
        <w:t xml:space="preserve">   methodology    </w:t>
      </w:r>
      <w:r>
        <w:t xml:space="preserve">   positivism    </w:t>
      </w:r>
      <w:r>
        <w:t xml:space="preserve">   phenomenom    </w:t>
      </w:r>
      <w:r>
        <w:t xml:space="preserve">   participants    </w:t>
      </w:r>
      <w:r>
        <w:t xml:space="preserve">   observation    </w:t>
      </w:r>
      <w:r>
        <w:t xml:space="preserve">   interpretation    </w:t>
      </w:r>
      <w:r>
        <w:t xml:space="preserve">   data    </w:t>
      </w:r>
      <w:r>
        <w:t xml:space="preserve">   perspectives    </w:t>
      </w:r>
      <w:r>
        <w:t xml:space="preserve">   reflexivity    </w:t>
      </w:r>
      <w:r>
        <w:t xml:space="preserve">   inductive    </w:t>
      </w:r>
      <w:r>
        <w:t xml:space="preserve">   phenomenology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Research</dc:title>
  <dcterms:created xsi:type="dcterms:W3CDTF">2021-10-11T15:06:06Z</dcterms:created>
  <dcterms:modified xsi:type="dcterms:W3CDTF">2021-10-11T15:06:06Z</dcterms:modified>
</cp:coreProperties>
</file>