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NDNQI    </w:t>
      </w:r>
      <w:r>
        <w:t xml:space="preserve">   HAPU    </w:t>
      </w:r>
      <w:r>
        <w:t xml:space="preserve">   pressure ulcers    </w:t>
      </w:r>
      <w:r>
        <w:t xml:space="preserve">   goals    </w:t>
      </w:r>
      <w:r>
        <w:t xml:space="preserve">   collaboration    </w:t>
      </w:r>
      <w:r>
        <w:t xml:space="preserve">   quality    </w:t>
      </w:r>
      <w:r>
        <w:t xml:space="preserve">   standard four    </w:t>
      </w:r>
      <w:r>
        <w:t xml:space="preserve">   safety    </w:t>
      </w:r>
      <w:r>
        <w:t xml:space="preserve">   clabsi    </w:t>
      </w:r>
      <w:r>
        <w:t xml:space="preserve">   Cauti    </w:t>
      </w:r>
      <w:r>
        <w:t xml:space="preserve">   Falls    </w:t>
      </w:r>
      <w:r>
        <w:t xml:space="preserve">   benchmark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</dc:title>
  <dcterms:created xsi:type="dcterms:W3CDTF">2021-10-11T15:04:35Z</dcterms:created>
  <dcterms:modified xsi:type="dcterms:W3CDTF">2021-10-11T15:04:35Z</dcterms:modified>
</cp:coreProperties>
</file>