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Quantitative Literacy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sample that is convenient to select, such as people who happen to be in the same classroom</w:t>
            </w:r>
          </w:p>
          <w:p>
            <w:pPr>
              <w:keepLines/>
              <w:pStyle w:val="CluesTiny"/>
            </w:pPr>
            <w:r>
              <w:rPr>
                <w:b w:val="true"/>
                <w:bCs w:val="true"/>
              </w:rPr>
              <w:t xml:space="preserve">8. </w:t>
            </w:r>
            <w:r>
              <w:t xml:space="preserve">Data that represent counts or measurments </w:t>
            </w:r>
          </w:p>
          <w:p>
            <w:pPr>
              <w:keepLines/>
              <w:pStyle w:val="CluesTiny"/>
            </w:pPr>
            <w:r>
              <w:rPr>
                <w:b w:val="true"/>
                <w:bCs w:val="true"/>
              </w:rPr>
              <w:t xml:space="preserve">13. </w:t>
            </w:r>
            <w:r>
              <w:t xml:space="preserve">The ____________________ for a data set consists of the following five numbers: low value, lower quartile, median, upper quartile, high value</w:t>
            </w:r>
          </w:p>
          <w:p>
            <w:pPr>
              <w:keepLines/>
              <w:pStyle w:val="CluesTiny"/>
            </w:pPr>
            <w:r>
              <w:rPr>
                <w:b w:val="true"/>
                <w:bCs w:val="true"/>
              </w:rPr>
              <w:t xml:space="preserve">14. </w:t>
            </w:r>
            <w:r>
              <w:t xml:space="preserve">Shows the data value for each category as a dot, and the dots are connected with lines</w:t>
            </w:r>
          </w:p>
          <w:p>
            <w:pPr>
              <w:keepLines/>
              <w:pStyle w:val="CluesTiny"/>
            </w:pPr>
            <w:r>
              <w:rPr>
                <w:b w:val="true"/>
                <w:bCs w:val="true"/>
              </w:rPr>
              <w:t xml:space="preserve">15. </w:t>
            </w:r>
            <w:r>
              <w:t xml:space="preserve">Lacks the active ingredients of treatment being tested in a study, but is identical in appearance to the treatment</w:t>
            </w:r>
          </w:p>
          <w:p>
            <w:pPr>
              <w:keepLines/>
              <w:pStyle w:val="CluesTiny"/>
            </w:pPr>
            <w:r>
              <w:rPr>
                <w:b w:val="true"/>
                <w:bCs w:val="true"/>
              </w:rPr>
              <w:t xml:space="preserve">17. </w:t>
            </w:r>
            <w:r>
              <w:t xml:space="preserve">A line chart in which the horizontal axis represents time </w:t>
            </w:r>
          </w:p>
          <w:p>
            <w:pPr>
              <w:keepLines/>
              <w:pStyle w:val="CluesTiny"/>
            </w:pPr>
            <w:r>
              <w:rPr>
                <w:b w:val="true"/>
                <w:bCs w:val="true"/>
              </w:rPr>
              <w:t xml:space="preserve">18. </w:t>
            </w:r>
            <w:r>
              <w:t xml:space="preserve">The difference between the highest and lowest data values </w:t>
            </w:r>
          </w:p>
          <w:p>
            <w:pPr>
              <w:keepLines/>
              <w:pStyle w:val="CluesTiny"/>
            </w:pPr>
            <w:r>
              <w:rPr>
                <w:b w:val="true"/>
                <w:bCs w:val="true"/>
              </w:rPr>
              <w:t xml:space="preserve">19. </w:t>
            </w:r>
            <w:r>
              <w:t xml:space="preserve">Any item or quantity that can vary or take on different values</w:t>
            </w:r>
          </w:p>
          <w:p>
            <w:pPr>
              <w:keepLines/>
              <w:pStyle w:val="CluesTiny"/>
            </w:pPr>
            <w:r>
              <w:rPr>
                <w:b w:val="true"/>
                <w:bCs w:val="true"/>
              </w:rPr>
              <w:t xml:space="preserve">20. </w:t>
            </w:r>
            <w:r>
              <w:t xml:space="preserve">The group of sample members who do not receive the treatment being tested</w:t>
            </w:r>
          </w:p>
          <w:p>
            <w:pPr>
              <w:keepLines/>
              <w:pStyle w:val="CluesTiny"/>
            </w:pPr>
            <w:r>
              <w:rPr>
                <w:b w:val="true"/>
                <w:bCs w:val="true"/>
              </w:rPr>
              <w:t xml:space="preserve">22. </w:t>
            </w:r>
            <w:r>
              <w:t xml:space="preserve">An observational study that resembles an experiment because the sample naturally divides into two or more groups </w:t>
            </w:r>
          </w:p>
        </w:tc>
        <w:tc>
          <w:p>
            <w:pPr>
              <w:pStyle w:val="CluesTiny"/>
            </w:pPr>
            <w:r>
              <w:rPr>
                <w:b w:val="true"/>
                <w:bCs w:val="true"/>
              </w:rPr>
              <w:t xml:space="preserve">Down</w:t>
            </w:r>
          </w:p>
          <w:p>
            <w:pPr>
              <w:keepLines/>
              <w:pStyle w:val="CluesTiny"/>
            </w:pPr>
            <w:r>
              <w:rPr>
                <w:b w:val="true"/>
                <w:bCs w:val="true"/>
              </w:rPr>
              <w:t xml:space="preserve">1. </w:t>
            </w:r>
            <w:r>
              <w:t xml:space="preserve">Exists between two variables when higher values of one variable consistently go with higher values of another or when higher values of one variable consitently go with lower values of another </w:t>
            </w:r>
          </w:p>
          <w:p>
            <w:pPr>
              <w:keepLines/>
              <w:pStyle w:val="CluesTiny"/>
            </w:pPr>
            <w:r>
              <w:rPr>
                <w:b w:val="true"/>
                <w:bCs w:val="true"/>
              </w:rPr>
              <w:t xml:space="preserve">2. </w:t>
            </w:r>
            <w:r>
              <w:t xml:space="preserve">A bar graph for quantitative data categories. The bars have a natural order and the bar widths have a specific meaning </w:t>
            </w:r>
          </w:p>
          <w:p>
            <w:pPr>
              <w:keepLines/>
              <w:pStyle w:val="CluesTiny"/>
            </w:pPr>
            <w:r>
              <w:rPr>
                <w:b w:val="true"/>
                <w:bCs w:val="true"/>
              </w:rPr>
              <w:t xml:space="preserve">3. </w:t>
            </w:r>
            <w:r>
              <w:t xml:space="preserve">What we most commonly call the average value</w:t>
            </w:r>
          </w:p>
          <w:p>
            <w:pPr>
              <w:keepLines/>
              <w:pStyle w:val="CluesTiny"/>
            </w:pPr>
            <w:r>
              <w:rPr>
                <w:b w:val="true"/>
                <w:bCs w:val="true"/>
              </w:rPr>
              <w:t xml:space="preserve">4. </w:t>
            </w:r>
            <w:r>
              <w:t xml:space="preserve">The first column in a basic frequency table lists all the __________ of data.</w:t>
            </w:r>
          </w:p>
          <w:p>
            <w:pPr>
              <w:keepLines/>
              <w:pStyle w:val="CluesTiny"/>
            </w:pPr>
            <w:r>
              <w:rPr>
                <w:b w:val="true"/>
                <w:bCs w:val="true"/>
              </w:rPr>
              <w:t xml:space="preserve">6. </w:t>
            </w:r>
            <w:r>
              <w:t xml:space="preserve">Is a graph in which each point represents the values of two variables </w:t>
            </w:r>
          </w:p>
          <w:p>
            <w:pPr>
              <w:keepLines/>
              <w:pStyle w:val="CluesTiny"/>
            </w:pPr>
            <w:r>
              <w:rPr>
                <w:b w:val="true"/>
                <w:bCs w:val="true"/>
              </w:rPr>
              <w:t xml:space="preserve">7. </w:t>
            </w:r>
            <w:r>
              <w:t xml:space="preserve">A data value that is much higher or much lower than almost all the other values</w:t>
            </w:r>
          </w:p>
          <w:p>
            <w:pPr>
              <w:keepLines/>
              <w:pStyle w:val="CluesTiny"/>
            </w:pPr>
            <w:r>
              <w:rPr>
                <w:b w:val="true"/>
                <w:bCs w:val="true"/>
              </w:rPr>
              <w:t xml:space="preserve">9. </w:t>
            </w:r>
            <w:r>
              <w:t xml:space="preserve">Data that describes qualities or categories </w:t>
            </w:r>
          </w:p>
          <w:p>
            <w:pPr>
              <w:keepLines/>
              <w:pStyle w:val="CluesTiny"/>
            </w:pPr>
            <w:r>
              <w:rPr>
                <w:b w:val="true"/>
                <w:bCs w:val="true"/>
              </w:rPr>
              <w:t xml:space="preserve">10. </w:t>
            </w:r>
            <w:r>
              <w:t xml:space="preserve">Used to describe a confidence interval that is likely to contain the true population parameter </w:t>
            </w:r>
          </w:p>
          <w:p>
            <w:pPr>
              <w:keepLines/>
              <w:pStyle w:val="CluesTiny"/>
            </w:pPr>
            <w:r>
              <w:rPr>
                <w:b w:val="true"/>
                <w:bCs w:val="true"/>
              </w:rPr>
              <w:t xml:space="preserve">11. </w:t>
            </w:r>
            <w:r>
              <w:t xml:space="preserve">The most common value (or group of values) in a distribution </w:t>
            </w:r>
          </w:p>
          <w:p>
            <w:pPr>
              <w:keepLines/>
              <w:pStyle w:val="CluesTiny"/>
            </w:pPr>
            <w:r>
              <w:rPr>
                <w:b w:val="true"/>
                <w:bCs w:val="true"/>
              </w:rPr>
              <w:t xml:space="preserve">12. </w:t>
            </w:r>
            <w:r>
              <w:t xml:space="preserve">Describes how widely data values are spread out about the center of a distribution</w:t>
            </w:r>
          </w:p>
          <w:p>
            <w:pPr>
              <w:keepLines/>
              <w:pStyle w:val="CluesTiny"/>
            </w:pPr>
            <w:r>
              <w:rPr>
                <w:b w:val="true"/>
                <w:bCs w:val="true"/>
              </w:rPr>
              <w:t xml:space="preserve">16. </w:t>
            </w:r>
            <w:r>
              <w:t xml:space="preserve">The science of collecting, organizing, and interpreting data or the data that describe or summarize something</w:t>
            </w:r>
          </w:p>
          <w:p>
            <w:pPr>
              <w:keepLines/>
              <w:pStyle w:val="CluesTiny"/>
            </w:pPr>
            <w:r>
              <w:rPr>
                <w:b w:val="true"/>
                <w:bCs w:val="true"/>
              </w:rPr>
              <w:t xml:space="preserve">21. </w:t>
            </w:r>
            <w:r>
              <w:t xml:space="preserve">The middle value in the sorted data set</w:t>
            </w:r>
          </w:p>
        </w:tc>
      </w:tr>
    </w:tbl>
    <w:p>
      <w:pPr>
        <w:pStyle w:val="WordBankLarge"/>
      </w:pPr>
      <w:r>
        <w:t xml:space="preserve">   Statistics     </w:t>
      </w:r>
      <w:r>
        <w:t xml:space="preserve">   Convenience Sample     </w:t>
      </w:r>
      <w:r>
        <w:t xml:space="preserve">   Control Group    </w:t>
      </w:r>
      <w:r>
        <w:t xml:space="preserve">   Placebo    </w:t>
      </w:r>
      <w:r>
        <w:t xml:space="preserve">   Case Control Study     </w:t>
      </w:r>
      <w:r>
        <w:t xml:space="preserve">   Margin of Error     </w:t>
      </w:r>
      <w:r>
        <w:t xml:space="preserve">   Qualitative     </w:t>
      </w:r>
      <w:r>
        <w:t xml:space="preserve">   Quantitative     </w:t>
      </w:r>
      <w:r>
        <w:t xml:space="preserve">   Mean    </w:t>
      </w:r>
      <w:r>
        <w:t xml:space="preserve">   Median     </w:t>
      </w:r>
      <w:r>
        <w:t xml:space="preserve">   Mode    </w:t>
      </w:r>
      <w:r>
        <w:t xml:space="preserve">   Outlier     </w:t>
      </w:r>
      <w:r>
        <w:t xml:space="preserve">   Variation     </w:t>
      </w:r>
      <w:r>
        <w:t xml:space="preserve">   Range    </w:t>
      </w:r>
      <w:r>
        <w:t xml:space="preserve">   Five Number Summary    </w:t>
      </w:r>
      <w:r>
        <w:t xml:space="preserve">   Scatter Diagram     </w:t>
      </w:r>
      <w:r>
        <w:t xml:space="preserve">   Correlation     </w:t>
      </w:r>
      <w:r>
        <w:t xml:space="preserve">   Histogram     </w:t>
      </w:r>
      <w:r>
        <w:t xml:space="preserve">   Line Chart     </w:t>
      </w:r>
      <w:r>
        <w:t xml:space="preserve">   Time Series Diagram     </w:t>
      </w:r>
      <w:r>
        <w:t xml:space="preserve">   Categories     </w:t>
      </w:r>
      <w:r>
        <w:t xml:space="preserve">   Variable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Literacy </dc:title>
  <dcterms:created xsi:type="dcterms:W3CDTF">2021-10-11T15:04:43Z</dcterms:created>
  <dcterms:modified xsi:type="dcterms:W3CDTF">2021-10-11T15:04:43Z</dcterms:modified>
</cp:coreProperties>
</file>