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haces en la escuela?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answer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one </w:t>
            </w:r>
          </w:p>
        </w:tc>
      </w:tr>
    </w:tbl>
    <w:p>
      <w:pPr>
        <w:pStyle w:val="WordBankLarge"/>
      </w:pPr>
      <w:r>
        <w:t xml:space="preserve">   estar a tiempo    </w:t>
      </w:r>
      <w:r>
        <w:t xml:space="preserve">   contestar una pregunta    </w:t>
      </w:r>
      <w:r>
        <w:t xml:space="preserve">   estudiar    </w:t>
      </w:r>
      <w:r>
        <w:t xml:space="preserve">   to arrive late    </w:t>
      </w:r>
      <w:r>
        <w:t xml:space="preserve">   aprender    </w:t>
      </w:r>
      <w:r>
        <w:t xml:space="preserve">   tijeras    </w:t>
      </w:r>
      <w:r>
        <w:t xml:space="preserve">   la regla    </w:t>
      </w:r>
      <w:r>
        <w:t xml:space="preserve">   entregar el trabajo    </w:t>
      </w:r>
      <w:r>
        <w:t xml:space="preserve">   los materiales    </w:t>
      </w:r>
      <w:r>
        <w:t xml:space="preserve">   el armario    </w:t>
      </w:r>
      <w:r>
        <w:t xml:space="preserve">   hacer    </w:t>
      </w:r>
      <w:r>
        <w:t xml:space="preserve">   dar un discurso    </w:t>
      </w:r>
      <w:r>
        <w:t xml:space="preserve">   repetar    </w:t>
      </w:r>
      <w:r>
        <w:t xml:space="preserve">   nadie    </w:t>
      </w:r>
      <w:r>
        <w:t xml:space="preserve">   sacar una buena nota    </w:t>
      </w:r>
      <w:r>
        <w:t xml:space="preserve">   empezar    </w:t>
      </w:r>
      <w:r>
        <w:t xml:space="preserve">   sobre    </w:t>
      </w:r>
      <w:r>
        <w:t xml:space="preserve">   los materiales    </w:t>
      </w:r>
      <w:r>
        <w:t xml:space="preserve">   la grapadora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haces en la escuela? </dc:title>
  <dcterms:created xsi:type="dcterms:W3CDTF">2021-10-12T20:27:57Z</dcterms:created>
  <dcterms:modified xsi:type="dcterms:W3CDTF">2021-10-12T20:27:57Z</dcterms:modified>
</cp:coreProperties>
</file>