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RILEY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hyperemotional    </w:t>
      </w:r>
      <w:r>
        <w:t xml:space="preserve">   hyperventilate    </w:t>
      </w:r>
      <w:r>
        <w:t xml:space="preserve">   hypercritical    </w:t>
      </w:r>
      <w:r>
        <w:t xml:space="preserve">   hypercorrect    </w:t>
      </w:r>
      <w:r>
        <w:t xml:space="preserve">   hypertensive    </w:t>
      </w:r>
      <w:r>
        <w:t xml:space="preserve">   hyperdrive    </w:t>
      </w:r>
      <w:r>
        <w:t xml:space="preserve">   hyperalert    </w:t>
      </w:r>
      <w:r>
        <w:t xml:space="preserve">   hyperdetailed    </w:t>
      </w:r>
      <w:r>
        <w:t xml:space="preserve">   hypersensitive    </w:t>
      </w:r>
      <w:r>
        <w:t xml:space="preserve">   hyperactive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RILEY H</dc:title>
  <dcterms:created xsi:type="dcterms:W3CDTF">2021-10-11T15:36:19Z</dcterms:created>
  <dcterms:modified xsi:type="dcterms:W3CDTF">2021-10-11T15:36:19Z</dcterms:modified>
</cp:coreProperties>
</file>