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OF MANDATES IN THE CRIMINAL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LEGISLATURE    </w:t>
      </w:r>
      <w:r>
        <w:t xml:space="preserve">   PROPOSE    </w:t>
      </w:r>
      <w:r>
        <w:t xml:space="preserve">   PARLIAMENT    </w:t>
      </w:r>
      <w:r>
        <w:t xml:space="preserve">   CONSTITUTION    </w:t>
      </w:r>
      <w:r>
        <w:t xml:space="preserve">   CODE    </w:t>
      </w:r>
      <w:r>
        <w:t xml:space="preserve">   ETHICS    </w:t>
      </w:r>
      <w:r>
        <w:t xml:space="preserve">   CORRECTIONAL    </w:t>
      </w:r>
      <w:r>
        <w:t xml:space="preserve">   LEGISLATION    </w:t>
      </w:r>
      <w:r>
        <w:t xml:space="preserve">   WHITE PAPER    </w:t>
      </w:r>
      <w:r>
        <w:t xml:space="preserve">   POLICY    </w:t>
      </w:r>
      <w:r>
        <w:t xml:space="preserve">   MANDATE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MANDATES IN THE CRIMINAL JUSTICE SYSTEM</dc:title>
  <dcterms:created xsi:type="dcterms:W3CDTF">2021-10-11T15:43:03Z</dcterms:created>
  <dcterms:modified xsi:type="dcterms:W3CDTF">2021-10-11T15:43:03Z</dcterms:modified>
</cp:coreProperties>
</file>