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ROSE UNDER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Lorid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nearsighted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encompass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Alacrity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persistence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Ravensbrück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abyss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Apathy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advent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contagious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Feruid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beleagver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deleterious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immolate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imperative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serene</w:t>
            </w:r>
          </w:p>
        </w:tc>
      </w:tr>
    </w:tbl>
    <w:p>
      <w:pPr>
        <w:pStyle w:val="WordBankLarge"/>
      </w:pPr>
      <w:r>
        <w:t xml:space="preserve">   Causing shock or disgust     </w:t>
      </w:r>
      <w:r>
        <w:t xml:space="preserve">   freedom from punishment     </w:t>
      </w:r>
      <w:r>
        <w:t xml:space="preserve">   to kill or destroy     </w:t>
      </w:r>
      <w:r>
        <w:t xml:space="preserve">   very important     </w:t>
      </w:r>
      <w:r>
        <w:t xml:space="preserve">   a sudden attack or incursion     </w:t>
      </w:r>
      <w:r>
        <w:t xml:space="preserve">   to include as a part    </w:t>
      </w:r>
      <w:r>
        <w:t xml:space="preserve">    having strong feelings     </w:t>
      </w:r>
      <w:r>
        <w:t xml:space="preserve">   to become larger     </w:t>
      </w:r>
      <w:r>
        <w:t xml:space="preserve">    damaging or harmful     </w:t>
      </w:r>
      <w:r>
        <w:t xml:space="preserve">   things that touch each other     </w:t>
      </w:r>
      <w:r>
        <w:t xml:space="preserve">   to cause trouble     </w:t>
      </w:r>
      <w:r>
        <w:t xml:space="preserve">   not having emotion     </w:t>
      </w:r>
      <w:r>
        <w:t xml:space="preserve">   ready to do something     </w:t>
      </w:r>
      <w:r>
        <w:t xml:space="preserve">   four sundays before christmas     </w:t>
      </w:r>
      <w:r>
        <w:t xml:space="preserve">   deep hole     </w:t>
      </w:r>
      <w:r>
        <w:t xml:space="preserve">    unable to see things far away     </w:t>
      </w:r>
      <w:r>
        <w:t xml:space="preserve">   look keenly     </w:t>
      </w:r>
      <w:r>
        <w:t xml:space="preserve">   calm     </w:t>
      </w:r>
      <w:r>
        <w:t xml:space="preserve">   firm     </w:t>
      </w:r>
      <w:r>
        <w:t xml:space="preserve">    all women’s concentration camp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 UNDER FIRE</dc:title>
  <dcterms:created xsi:type="dcterms:W3CDTF">2021-10-11T15:49:58Z</dcterms:created>
  <dcterms:modified xsi:type="dcterms:W3CDTF">2021-10-11T15:49:58Z</dcterms:modified>
</cp:coreProperties>
</file>