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Recherche quantitative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Type d’article scientifique basé sur une méthode globale et non explicite d’interroger la littérature; sans stratégie de recherche préalablement définie et parfois selon les connaissances et les opinions de l’auteur (2 mots)</w:t>
            </w:r>
          </w:p>
          <w:p>
            <w:pPr>
              <w:keepLines/>
              <w:pStyle w:val="CluesTiny"/>
            </w:pPr>
            <w:r>
              <w:rPr>
                <w:b w:val="true"/>
                <w:bCs w:val="true"/>
              </w:rPr>
              <w:t xml:space="preserve">4. </w:t>
            </w:r>
            <w:r>
              <w:t xml:space="preserve">Type de validité d’une étude qui limite, autant que possible, les biais attribuables à la collecte et aux analyses des données</w:t>
            </w:r>
          </w:p>
          <w:p>
            <w:pPr>
              <w:keepLines/>
              <w:pStyle w:val="CluesTiny"/>
            </w:pPr>
            <w:r>
              <w:rPr>
                <w:b w:val="true"/>
                <w:bCs w:val="true"/>
              </w:rPr>
              <w:t xml:space="preserve">7. </w:t>
            </w:r>
            <w:r>
              <w:t xml:space="preserve">Variable qui est manipulée par le chercheur, dans la mesure où elle provoque un changement dans la variable dépendante</w:t>
            </w:r>
          </w:p>
          <w:p>
            <w:pPr>
              <w:keepLines/>
              <w:pStyle w:val="CluesTiny"/>
            </w:pPr>
            <w:r>
              <w:rPr>
                <w:b w:val="true"/>
                <w:bCs w:val="true"/>
              </w:rPr>
              <w:t xml:space="preserve">11. </w:t>
            </w:r>
            <w:r>
              <w:t xml:space="preserve">Type d’article scientifique basée sur une méthode approfondie, globale et explicite d’interroger la littérature. Contient un protocole détaillé préalable, établi selon « Cochrane » (2 mots)</w:t>
            </w:r>
          </w:p>
          <w:p>
            <w:pPr>
              <w:keepLines/>
              <w:pStyle w:val="CluesTiny"/>
            </w:pPr>
            <w:r>
              <w:rPr>
                <w:b w:val="true"/>
                <w:bCs w:val="true"/>
              </w:rPr>
              <w:t xml:space="preserve">13. </w:t>
            </w:r>
            <w:r>
              <w:t xml:space="preserve">Type d’article scientifique qui rassemble des données issues d’une revue systématique et les ré-analyse avec des outils statistiques adéquats pour donner une statistique globale. Objectifs des études doivent être similaires</w:t>
            </w:r>
          </w:p>
          <w:p>
            <w:pPr>
              <w:keepLines/>
              <w:pStyle w:val="CluesTiny"/>
            </w:pPr>
            <w:r>
              <w:rPr>
                <w:b w:val="true"/>
                <w:bCs w:val="true"/>
              </w:rPr>
              <w:t xml:space="preserve">15. </w:t>
            </w:r>
            <w:r>
              <w:t xml:space="preserve">Approche de recherche inductive : formulation d’une hypothèse, d’une théorie à partir de l’observation, de faits, de situations concrètes</w:t>
            </w:r>
          </w:p>
          <w:p>
            <w:pPr>
              <w:keepLines/>
              <w:pStyle w:val="CluesTiny"/>
            </w:pPr>
            <w:r>
              <w:rPr>
                <w:b w:val="true"/>
                <w:bCs w:val="true"/>
              </w:rPr>
              <w:t xml:space="preserve">16. </w:t>
            </w:r>
            <w:r>
              <w:t xml:space="preserve">Type de validité d’une étude pour laquelle les résultats peuvent être généralisés dans le milieu de vie de la population à l’étude</w:t>
            </w:r>
          </w:p>
          <w:p>
            <w:pPr>
              <w:keepLines/>
              <w:pStyle w:val="CluesTiny"/>
            </w:pPr>
            <w:r>
              <w:rPr>
                <w:b w:val="true"/>
                <w:bCs w:val="true"/>
              </w:rPr>
              <w:t xml:space="preserve">19. </w:t>
            </w:r>
            <w:r>
              <w:t xml:space="preserve">Un groupe qui est traité normalement et qui nous donne une mesure de la façon dont les gens se comportent quand ils ne sont pas exposés au traitement expérimental.</w:t>
            </w:r>
          </w:p>
        </w:tc>
        <w:tc>
          <w:p>
            <w:pPr>
              <w:pStyle w:val="CluesTiny"/>
            </w:pPr>
            <w:r>
              <w:rPr>
                <w:b w:val="true"/>
                <w:bCs w:val="true"/>
              </w:rPr>
              <w:t xml:space="preserve">Down</w:t>
            </w:r>
          </w:p>
          <w:p>
            <w:pPr>
              <w:keepLines/>
              <w:pStyle w:val="CluesTiny"/>
            </w:pPr>
            <w:r>
              <w:rPr>
                <w:b w:val="true"/>
                <w:bCs w:val="true"/>
              </w:rPr>
              <w:t xml:space="preserve">1. </w:t>
            </w:r>
            <w:r>
              <w:t xml:space="preserve">Approche de recherche déductive (ou hypothético-déductive) : formulation d’une hypothèse afin d'en déduire des conséquences observables qui permettront de déterminer la validité de l’hypothèse</w:t>
            </w:r>
          </w:p>
          <w:p>
            <w:pPr>
              <w:keepLines/>
              <w:pStyle w:val="CluesTiny"/>
            </w:pPr>
            <w:r>
              <w:rPr>
                <w:b w:val="true"/>
                <w:bCs w:val="true"/>
              </w:rPr>
              <w:t xml:space="preserve">2. </w:t>
            </w:r>
            <w:r>
              <w:t xml:space="preserve">Variable présente en dehors de la volonté du chercher, provoquant un effet inattendu sur la variable dépendante. De ce fait, elle nuit à l'établissement d'une relation claire entre la variable dépendante et la variable indépendante.</w:t>
            </w:r>
          </w:p>
          <w:p>
            <w:pPr>
              <w:keepLines/>
              <w:pStyle w:val="CluesTiny"/>
            </w:pPr>
            <w:r>
              <w:rPr>
                <w:b w:val="true"/>
                <w:bCs w:val="true"/>
              </w:rPr>
              <w:t xml:space="preserve">5. </w:t>
            </w:r>
            <w:r>
              <w:t xml:space="preserve">Étude expérimentale où les participants éligibles, sélectionnés pour une intervention, sont répartis de manière aléatoire en 2 ou plusieurs groupes, incluant un groupe contrôle (2 mots)</w:t>
            </w:r>
          </w:p>
          <w:p>
            <w:pPr>
              <w:keepLines/>
              <w:pStyle w:val="CluesTiny"/>
            </w:pPr>
            <w:r>
              <w:rPr>
                <w:b w:val="true"/>
                <w:bCs w:val="true"/>
              </w:rPr>
              <w:t xml:space="preserve">6. </w:t>
            </w:r>
            <w:r>
              <w:t xml:space="preserve">Type de devis pour lequel la manipulation de la variable indépendante est présente, mais il manque le contrôle et/ou la randomisation</w:t>
            </w:r>
          </w:p>
          <w:p>
            <w:pPr>
              <w:keepLines/>
              <w:pStyle w:val="CluesTiny"/>
            </w:pPr>
            <w:r>
              <w:rPr>
                <w:b w:val="true"/>
                <w:bCs w:val="true"/>
              </w:rPr>
              <w:t xml:space="preserve">8. </w:t>
            </w:r>
            <w:r>
              <w:t xml:space="preserve">Manière de distribuer les participants dans les groupes. A pour but d’équilibrer les groupes en permettant aux caractéristiques individuelles d’être représentées dans tous les groupes.</w:t>
            </w:r>
          </w:p>
          <w:p>
            <w:pPr>
              <w:keepLines/>
              <w:pStyle w:val="CluesTiny"/>
            </w:pPr>
            <w:r>
              <w:rPr>
                <w:b w:val="true"/>
                <w:bCs w:val="true"/>
              </w:rPr>
              <w:t xml:space="preserve">9. </w:t>
            </w:r>
            <w:r>
              <w:t xml:space="preserve">La variable qui est testée et mesurée dans un devis de recherche</w:t>
            </w:r>
          </w:p>
          <w:p>
            <w:pPr>
              <w:keepLines/>
              <w:pStyle w:val="CluesTiny"/>
            </w:pPr>
            <w:r>
              <w:rPr>
                <w:b w:val="true"/>
                <w:bCs w:val="true"/>
              </w:rPr>
              <w:t xml:space="preserve">10. </w:t>
            </w:r>
            <w:r>
              <w:t xml:space="preserve">Type de validité d’une étude pour laquelle les résultats peuvent être généralisés d’autres populations</w:t>
            </w:r>
          </w:p>
          <w:p>
            <w:pPr>
              <w:keepLines/>
              <w:pStyle w:val="CluesTiny"/>
            </w:pPr>
            <w:r>
              <w:rPr>
                <w:b w:val="true"/>
                <w:bCs w:val="true"/>
              </w:rPr>
              <w:t xml:space="preserve">12. </w:t>
            </w:r>
            <w:r>
              <w:t xml:space="preserve">Procédé qui consiste à contrôler l’application de la variable indépendante pour vérifier son effet sur les variables dépendantes.</w:t>
            </w:r>
          </w:p>
          <w:p>
            <w:pPr>
              <w:keepLines/>
              <w:pStyle w:val="CluesTiny"/>
            </w:pPr>
            <w:r>
              <w:rPr>
                <w:b w:val="true"/>
                <w:bCs w:val="true"/>
              </w:rPr>
              <w:t xml:space="preserve">14. </w:t>
            </w:r>
            <w:r>
              <w:t xml:space="preserve">Étude expérimentale où le participant et l’expérimentateur ignorent le traitement (2 mots)</w:t>
            </w:r>
          </w:p>
          <w:p>
            <w:pPr>
              <w:keepLines/>
              <w:pStyle w:val="CluesTiny"/>
            </w:pPr>
            <w:r>
              <w:rPr>
                <w:b w:val="true"/>
                <w:bCs w:val="true"/>
              </w:rPr>
              <w:t xml:space="preserve">17. </w:t>
            </w:r>
            <w:r>
              <w:t xml:space="preserve">Type d’étude expérimentale qui sert d’application initiale, à petite échelle, d’un protocole d’étude, afin de vérifier si la conception est adéquate, d’établir sa viabilité ou de demander une information qui permet de déterminer la taille de l’échantillon de l’étude définitive.</w:t>
            </w:r>
          </w:p>
          <w:p>
            <w:pPr>
              <w:keepLines/>
              <w:pStyle w:val="CluesTiny"/>
            </w:pPr>
            <w:r>
              <w:rPr>
                <w:b w:val="true"/>
                <w:bCs w:val="true"/>
              </w:rPr>
              <w:t xml:space="preserve">18. </w:t>
            </w:r>
            <w:r>
              <w:t xml:space="preserve">Type d’article scientifique qui rapporte une étude reposant sur des observations ou une recherche expérimentale effectuée chez l’homme, chez l’animal ou in vitro. La présentation respecte la structure de type IMRAD (Introduction, material and Methods, Results, And Discussion)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Recherche quantitative</dc:title>
  <dcterms:created xsi:type="dcterms:W3CDTF">2021-10-11T15:18:01Z</dcterms:created>
  <dcterms:modified xsi:type="dcterms:W3CDTF">2021-10-11T15:18:01Z</dcterms:modified>
</cp:coreProperties>
</file>