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Word of God"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of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Gave us the "5 Proofs of God's Existence"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Denier of God's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 Israel across the Jordan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Catholic but not Protestant bibles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Affectionate love of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General church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Third king of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Core of Scripture and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Holy book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Prophets were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denial of the teachings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God provides this for the Israelites along with manna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Original Hebrew text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study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Passionate love, usually romantic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Core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living, teaching office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Message given in God's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Length of years wandering by the desert by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translation by 70 scholars in Greek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Parallels the 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Interpretation and reading of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call from God to a life of holiness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Jesus'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patriarch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battling of someone's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Weeping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issue addressed by the prophets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story telling the origin of something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Forty    </w:t>
      </w:r>
      <w:r>
        <w:t xml:space="preserve">   Quail    </w:t>
      </w:r>
      <w:r>
        <w:t xml:space="preserve">   Joshua    </w:t>
      </w:r>
      <w:r>
        <w:t xml:space="preserve">   Military leaders    </w:t>
      </w:r>
      <w:r>
        <w:t xml:space="preserve">   Solomon    </w:t>
      </w:r>
      <w:r>
        <w:t xml:space="preserve">   Jeremiah    </w:t>
      </w:r>
      <w:r>
        <w:t xml:space="preserve">   Hanukkah    </w:t>
      </w:r>
      <w:r>
        <w:t xml:space="preserve">   Last Supper    </w:t>
      </w:r>
      <w:r>
        <w:t xml:space="preserve">   Parousia    </w:t>
      </w:r>
      <w:r>
        <w:t xml:space="preserve">   Pentateuch    </w:t>
      </w:r>
      <w:r>
        <w:t xml:space="preserve">   Canaan    </w:t>
      </w:r>
      <w:r>
        <w:t xml:space="preserve">   Idolatry    </w:t>
      </w:r>
      <w:r>
        <w:t xml:space="preserve">   oracle    </w:t>
      </w:r>
      <w:r>
        <w:t xml:space="preserve">   Gospels    </w:t>
      </w:r>
      <w:r>
        <w:t xml:space="preserve">   Agnostic    </w:t>
      </w:r>
      <w:r>
        <w:t xml:space="preserve">   vocation    </w:t>
      </w:r>
      <w:r>
        <w:t xml:space="preserve">   theology    </w:t>
      </w:r>
      <w:r>
        <w:t xml:space="preserve">   Thomas Aquinas    </w:t>
      </w:r>
      <w:r>
        <w:t xml:space="preserve">   storge    </w:t>
      </w:r>
      <w:r>
        <w:t xml:space="preserve">   eros    </w:t>
      </w:r>
      <w:r>
        <w:t xml:space="preserve">   doctrine    </w:t>
      </w:r>
      <w:r>
        <w:t xml:space="preserve">   creed    </w:t>
      </w:r>
      <w:r>
        <w:t xml:space="preserve">   heresy    </w:t>
      </w:r>
      <w:r>
        <w:t xml:space="preserve">   Tripitaka    </w:t>
      </w:r>
      <w:r>
        <w:t xml:space="preserve">   deuterocanonicals    </w:t>
      </w:r>
      <w:r>
        <w:t xml:space="preserve">   septuagint    </w:t>
      </w:r>
      <w:r>
        <w:t xml:space="preserve">   TaNakh    </w:t>
      </w:r>
      <w:r>
        <w:t xml:space="preserve">   exegesis    </w:t>
      </w:r>
      <w:r>
        <w:t xml:space="preserve">   Magisterium    </w:t>
      </w:r>
      <w:r>
        <w:t xml:space="preserve">   jihad    </w:t>
      </w:r>
      <w:r>
        <w:t xml:space="preserve">   etiology    </w:t>
      </w:r>
      <w:r>
        <w:t xml:space="preserve">   Dei Verbum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Vocabulary</dc:title>
  <dcterms:created xsi:type="dcterms:W3CDTF">2021-10-12T20:29:41Z</dcterms:created>
  <dcterms:modified xsi:type="dcterms:W3CDTF">2021-10-12T20:29:41Z</dcterms:modified>
</cp:coreProperties>
</file>