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focused on human potential and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religious imagery and classical myths on woodcuts and engravings.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Utopia, in which there was no war, corruption, and greed and where money had little to no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Praise of Folly, which poked fun at various people such as greedy merchants.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that means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three dimensions in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for the use of perspective. Filled Pope Julius II's library with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the dome of St. Peter's and the statue of David.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oil-based paints to develop new techniques modern artists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skillful in portraying large numbers of people. Captured scenes of everyday peasant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for the Decameron.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sculptor, inventor, painter and scientist. Made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sonnets about a mysterious woman named Laura.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a printing press which could produce large amounts of books in a short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supporter of an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Worldly rather than spiritual and concerned with the here and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writer of the Elizabethan Age.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Humanism    </w:t>
      </w:r>
      <w:r>
        <w:t xml:space="preserve">   Secular    </w:t>
      </w:r>
      <w:r>
        <w:t xml:space="preserve">   Patron    </w:t>
      </w:r>
      <w:r>
        <w:t xml:space="preserve">   Perspective    </w:t>
      </w:r>
      <w:r>
        <w:t xml:space="preserve">   Leonardo da Vinci    </w:t>
      </w:r>
      <w:r>
        <w:t xml:space="preserve">   Raphael Sanzio    </w:t>
      </w:r>
      <w:r>
        <w:t xml:space="preserve">   Michelangelo Buonarroti    </w:t>
      </w:r>
      <w:r>
        <w:t xml:space="preserve">   Francesco Petrarch    </w:t>
      </w:r>
      <w:r>
        <w:t xml:space="preserve">   Giovanni Boccaccio    </w:t>
      </w:r>
      <w:r>
        <w:t xml:space="preserve">   Albrecht Dürer    </w:t>
      </w:r>
      <w:r>
        <w:t xml:space="preserve">   Jan van Eyck    </w:t>
      </w:r>
      <w:r>
        <w:t xml:space="preserve">   Pieter Bruegel the Elder    </w:t>
      </w:r>
      <w:r>
        <w:t xml:space="preserve">   Desiderius Erasmus of Holland    </w:t>
      </w:r>
      <w:r>
        <w:t xml:space="preserve">   Thomas More    </w:t>
      </w:r>
      <w:r>
        <w:t xml:space="preserve">   William Shakespeare     </w:t>
      </w:r>
      <w:r>
        <w:t xml:space="preserve">   Johann Gutenberg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Words </dc:title>
  <dcterms:created xsi:type="dcterms:W3CDTF">2021-10-11T15:26:41Z</dcterms:created>
  <dcterms:modified xsi:type="dcterms:W3CDTF">2021-10-11T15:26:41Z</dcterms:modified>
</cp:coreProperties>
</file>