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and Non-Renewabel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Nuclear Fission    </w:t>
      </w:r>
      <w:r>
        <w:t xml:space="preserve">   Photovoltic Cells    </w:t>
      </w:r>
      <w:r>
        <w:t xml:space="preserve">   Energy Conservation    </w:t>
      </w:r>
      <w:r>
        <w:t xml:space="preserve">   Active Solar Heating    </w:t>
      </w:r>
      <w:r>
        <w:t xml:space="preserve">   Passive Solar Heating    </w:t>
      </w:r>
      <w:r>
        <w:t xml:space="preserve">   Oil Reserves    </w:t>
      </w:r>
      <w:r>
        <w:t xml:space="preserve">   Nuclear Fusion    </w:t>
      </w:r>
      <w:r>
        <w:t xml:space="preserve">   Fuel cell    </w:t>
      </w:r>
      <w:r>
        <w:t xml:space="preserve">   Renewable Energy    </w:t>
      </w:r>
      <w:r>
        <w:t xml:space="preserve">   Fossil Fuels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Non-Renewabel Resources</dc:title>
  <dcterms:created xsi:type="dcterms:W3CDTF">2021-10-11T15:26:12Z</dcterms:created>
  <dcterms:modified xsi:type="dcterms:W3CDTF">2021-10-11T15:26:12Z</dcterms:modified>
</cp:coreProperties>
</file>