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Research Methods: Variables and Validity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Medium"/>
      </w:pPr>
      <w:r>
        <w:t xml:space="preserve">   historical    </w:t>
      </w:r>
      <w:r>
        <w:t xml:space="preserve">   population    </w:t>
      </w:r>
      <w:r>
        <w:t xml:space="preserve">   ecological    </w:t>
      </w:r>
      <w:r>
        <w:t xml:space="preserve">   mundane realism    </w:t>
      </w:r>
      <w:r>
        <w:t xml:space="preserve">   internal    </w:t>
      </w:r>
      <w:r>
        <w:t xml:space="preserve">   external    </w:t>
      </w:r>
      <w:r>
        <w:t xml:space="preserve">   independent    </w:t>
      </w:r>
      <w:r>
        <w:t xml:space="preserve">   dependent    </w:t>
      </w:r>
      <w:r>
        <w:t xml:space="preserve">   participant    </w:t>
      </w:r>
      <w:r>
        <w:t xml:space="preserve">   extraneous    </w:t>
      </w:r>
      <w:r>
        <w:t xml:space="preserve">   confounding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Methods: Variables and Validity</dc:title>
  <dcterms:created xsi:type="dcterms:W3CDTF">2021-10-11T15:28:49Z</dcterms:created>
  <dcterms:modified xsi:type="dcterms:W3CDTF">2021-10-11T15:28:49Z</dcterms:modified>
</cp:coreProperties>
</file>