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Resource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 transfer    </w:t>
      </w:r>
      <w:r>
        <w:t xml:space="preserve">   Energy mix    </w:t>
      </w:r>
      <w:r>
        <w:t xml:space="preserve">   Water stress    </w:t>
      </w:r>
      <w:r>
        <w:t xml:space="preserve">   Water deficit    </w:t>
      </w:r>
      <w:r>
        <w:t xml:space="preserve">   Water surplus    </w:t>
      </w:r>
      <w:r>
        <w:t xml:space="preserve">   Resources    </w:t>
      </w:r>
      <w:r>
        <w:t xml:space="preserve">   Organic produce    </w:t>
      </w:r>
      <w:r>
        <w:t xml:space="preserve">   Fracking    </w:t>
      </w:r>
      <w:r>
        <w:t xml:space="preserve">   Food miles    </w:t>
      </w:r>
      <w:r>
        <w:t xml:space="preserve">   Carbon footprint    </w:t>
      </w:r>
      <w:r>
        <w:t xml:space="preserve">   Agribusiness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management </dc:title>
  <dcterms:created xsi:type="dcterms:W3CDTF">2021-10-11T15:29:11Z</dcterms:created>
  <dcterms:modified xsi:type="dcterms:W3CDTF">2021-10-11T15:29:11Z</dcterms:modified>
</cp:coreProperties>
</file>