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CDC recommends COPD patients get the annual _________ vaccine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methylxanthines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Metered dose inhaler abbreviated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Primary risk factor for this condition is smoking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Anticholinergics 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short-acting anticholinergics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90% of these acute episodes are caused by viral infections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generation of antihistamines increase the risk of dizziness, constipation, and confusion in the elderly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Bronchoconstriction and airway inflammation causes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machine that converts a drug solution into a mist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COPD patients first line of therapy is at least one short-acting and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ADEs for expectorants include headache, GI upset, drowsiness,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Taken by COPD patients; increases the risk of suicidal ideation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Contraindicated in patients w/ hypersensitivity or has taken MAO inhibitor within 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URI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medication stimulates that alpha 1 adrenergic receptors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Medication can cause Stevens-Johnson syndrome (rare)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medication ADEs are confusion, drowsiness, paradoxical excitability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Class of medications that are inappropriate in treating colds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treated w/ histamines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Zyrtec is which class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drug inhibit bacterial wall synthesis binds to one or more penicillin binding proteins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box warning for tendon inflammation and rupture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Reduce airway inflammation by inhibiting/inducing the production of end-effector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Diarrhea and _________ are common ADE w/ third generation cephalosporins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asthma severity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Reversibly binds to 50S ribosomal subunits inhibiting the peptide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often referred to as ____ pearls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easier to use than MDI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decongestant that is kept behind the pharmacy desk  </w:t>
            </w:r>
          </w:p>
        </w:tc>
      </w:tr>
    </w:tbl>
    <w:p>
      <w:pPr>
        <w:pStyle w:val="WordBankLarge"/>
      </w:pPr>
      <w:r>
        <w:t xml:space="preserve">   Doxycycline    </w:t>
      </w:r>
      <w:r>
        <w:t xml:space="preserve">   Levofloxacin    </w:t>
      </w:r>
      <w:r>
        <w:t xml:space="preserve">   Diphenhydramine    </w:t>
      </w:r>
      <w:r>
        <w:t xml:space="preserve">   Influenza    </w:t>
      </w:r>
      <w:r>
        <w:t xml:space="preserve">   Bronchodilator    </w:t>
      </w:r>
      <w:r>
        <w:t xml:space="preserve">   Clindamycin    </w:t>
      </w:r>
      <w:r>
        <w:t xml:space="preserve">   Diaper rash    </w:t>
      </w:r>
      <w:r>
        <w:t xml:space="preserve">   First    </w:t>
      </w:r>
      <w:r>
        <w:t xml:space="preserve">   Antitussives    </w:t>
      </w:r>
      <w:r>
        <w:t xml:space="preserve">   Bronchitis    </w:t>
      </w:r>
      <w:r>
        <w:t xml:space="preserve">   COPD    </w:t>
      </w:r>
      <w:r>
        <w:t xml:space="preserve">   Antihistamines    </w:t>
      </w:r>
      <w:r>
        <w:t xml:space="preserve">   Sympathomimetic    </w:t>
      </w:r>
      <w:r>
        <w:t xml:space="preserve">   Sudafed    </w:t>
      </w:r>
      <w:r>
        <w:t xml:space="preserve">   Antibiotics    </w:t>
      </w:r>
      <w:r>
        <w:t xml:space="preserve">   Corticosteroids    </w:t>
      </w:r>
      <w:r>
        <w:t xml:space="preserve">   Roflumilast    </w:t>
      </w:r>
      <w:r>
        <w:t xml:space="preserve">   Cephalosporin    </w:t>
      </w:r>
      <w:r>
        <w:t xml:space="preserve">   Asthma    </w:t>
      </w:r>
      <w:r>
        <w:t xml:space="preserve">   Upper respiratory infections    </w:t>
      </w:r>
      <w:r>
        <w:t xml:space="preserve">   Dizziness    </w:t>
      </w:r>
      <w:r>
        <w:t xml:space="preserve">   Moderate Persistent    </w:t>
      </w:r>
      <w:r>
        <w:t xml:space="preserve">   MDI    </w:t>
      </w:r>
      <w:r>
        <w:t xml:space="preserve">   DPI    </w:t>
      </w:r>
      <w:r>
        <w:t xml:space="preserve">   Nebulizer    </w:t>
      </w:r>
      <w:r>
        <w:t xml:space="preserve">   Spiriva    </w:t>
      </w:r>
      <w:r>
        <w:t xml:space="preserve">   LABA    </w:t>
      </w:r>
      <w:r>
        <w:t xml:space="preserve">   Tessalon    </w:t>
      </w:r>
      <w:r>
        <w:t xml:space="preserve">   Theophylline    </w:t>
      </w:r>
      <w:r>
        <w:t xml:space="preserve">   Allergic Rhinitis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Crossword</dc:title>
  <dcterms:created xsi:type="dcterms:W3CDTF">2021-10-11T15:29:56Z</dcterms:created>
  <dcterms:modified xsi:type="dcterms:W3CDTF">2021-10-11T15:29:56Z</dcterms:modified>
</cp:coreProperties>
</file>