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Retained Profits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funding    </w:t>
      </w:r>
      <w:r>
        <w:t xml:space="preserve">   cashflow    </w:t>
      </w:r>
      <w:r>
        <w:t xml:space="preserve">   dividend    </w:t>
      </w:r>
      <w:r>
        <w:t xml:space="preserve">   flexible    </w:t>
      </w:r>
      <w:r>
        <w:t xml:space="preserve">   cheap    </w:t>
      </w:r>
      <w:r>
        <w:t xml:space="preserve">   bank    </w:t>
      </w:r>
      <w:r>
        <w:t xml:space="preserve">   shareholders    </w:t>
      </w:r>
      <w:r>
        <w:t xml:space="preserve">   net income    </w:t>
      </w:r>
      <w:r>
        <w:t xml:space="preserve">   source of finance    </w:t>
      </w:r>
      <w:r>
        <w:t xml:space="preserve">   profit    </w:t>
      </w:r>
      <w:r>
        <w:t xml:space="preserve">   Ownership    </w:t>
      </w:r>
      <w:r>
        <w:t xml:space="preserve">   ROCE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Retained Profits </dc:title>
  <dcterms:created xsi:type="dcterms:W3CDTF">2022-01-20T03:37:11Z</dcterms:created>
  <dcterms:modified xsi:type="dcterms:W3CDTF">2022-01-20T03:37:11Z</dcterms:modified>
</cp:coreProperties>
</file>