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of individuals.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Confidentiality    </w:t>
      </w:r>
      <w:r>
        <w:t xml:space="preserve">   Consultation    </w:t>
      </w:r>
      <w:r>
        <w:t xml:space="preserve">   Discrimination    </w:t>
      </w:r>
      <w:r>
        <w:t xml:space="preserve">   Diversity    </w:t>
      </w:r>
      <w:r>
        <w:t xml:space="preserve">   empower    </w:t>
      </w:r>
      <w:r>
        <w:t xml:space="preserve">   Equal and fair treatment    </w:t>
      </w:r>
      <w:r>
        <w:t xml:space="preserve">   equality    </w:t>
      </w:r>
      <w:r>
        <w:t xml:space="preserve">   Legislation    </w:t>
      </w:r>
      <w:r>
        <w:t xml:space="preserve">   Protection    </w:t>
      </w:r>
      <w:r>
        <w:t xml:space="preserve">   safety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of individuals.</dc:title>
  <dcterms:created xsi:type="dcterms:W3CDTF">2021-10-11T15:36:31Z</dcterms:created>
  <dcterms:modified xsi:type="dcterms:W3CDTF">2021-10-11T15:36:31Z</dcterms:modified>
</cp:coreProperties>
</file>