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prosecution    </w:t>
      </w:r>
      <w:r>
        <w:t xml:space="preserve">   training    </w:t>
      </w:r>
      <w:r>
        <w:t xml:space="preserve">   coshh    </w:t>
      </w:r>
      <w:r>
        <w:t xml:space="preserve">   compensation    </w:t>
      </w:r>
      <w:r>
        <w:t xml:space="preserve">   imprisonment    </w:t>
      </w:r>
      <w:r>
        <w:t xml:space="preserve">   fines    </w:t>
      </w:r>
      <w:r>
        <w:t xml:space="preserve">   competent    </w:t>
      </w:r>
      <w:r>
        <w:t xml:space="preserve">   severity    </w:t>
      </w:r>
      <w:r>
        <w:t xml:space="preserve">   likelihood    </w:t>
      </w:r>
      <w:r>
        <w:t xml:space="preserve">   hazard    </w:t>
      </w:r>
      <w:r>
        <w:t xml:space="preserve">   assessment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terms:created xsi:type="dcterms:W3CDTF">2021-10-11T15:35:44Z</dcterms:created>
  <dcterms:modified xsi:type="dcterms:W3CDTF">2021-10-11T15:35:44Z</dcterms:modified>
</cp:coreProperties>
</file>