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someone who does not believe in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to disperse or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no expectation restriction, positive; 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Killing of a ___ group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means exactly the same or nearly the same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euphoria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pesticide a chemical used to kill insects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syllable  a uninterrupted segment of speech consisting a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express triumphs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something that stands for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beyond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usually say ______ at a</w:t>
            </w:r>
          </w:p>
        </w:tc>
      </w:tr>
    </w:tbl>
    <w:p>
      <w:pPr>
        <w:pStyle w:val="WordBankLarge"/>
      </w:pPr>
      <w:r>
        <w:t xml:space="preserve">   Able to explained,resolved    </w:t>
      </w:r>
      <w:r>
        <w:t xml:space="preserve">   Superb     </w:t>
      </w:r>
      <w:r>
        <w:t xml:space="preserve">   Dissolve     </w:t>
      </w:r>
      <w:r>
        <w:t xml:space="preserve">   Absolute    </w:t>
      </w:r>
      <w:r>
        <w:t xml:space="preserve">   to go beyond expectations    </w:t>
      </w:r>
      <w:r>
        <w:t xml:space="preserve">   The believed for fear of the unknown    </w:t>
      </w:r>
      <w:r>
        <w:t xml:space="preserve">   synonym    </w:t>
      </w:r>
      <w:r>
        <w:t xml:space="preserve">    syllable    </w:t>
      </w:r>
      <w:r>
        <w:t xml:space="preserve">   Symbol    </w:t>
      </w:r>
      <w:r>
        <w:t xml:space="preserve">   the study of elements of religion    </w:t>
      </w:r>
      <w:r>
        <w:t xml:space="preserve">   atheist    </w:t>
      </w:r>
      <w:r>
        <w:t xml:space="preserve">   belief in one God    </w:t>
      </w:r>
      <w:r>
        <w:t xml:space="preserve">   brief, but comprehensive    </w:t>
      </w:r>
      <w:r>
        <w:t xml:space="preserve">   funeral    </w:t>
      </w:r>
      <w:r>
        <w:t xml:space="preserve">   words of Praise     </w:t>
      </w:r>
      <w:r>
        <w:t xml:space="preserve">   pesticide    </w:t>
      </w:r>
      <w:r>
        <w:t xml:space="preserve">    killing of a cultural group    </w:t>
      </w:r>
      <w:r>
        <w:t xml:space="preserve">   group    </w:t>
      </w:r>
      <w:r>
        <w:t xml:space="preserve">   a feeling of intense excitement    </w:t>
      </w:r>
      <w:r>
        <w:t xml:space="preserve">   eureka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and Affixes</dc:title>
  <dcterms:created xsi:type="dcterms:W3CDTF">2021-10-11T15:49:18Z</dcterms:created>
  <dcterms:modified xsi:type="dcterms:W3CDTF">2021-10-11T15:49:18Z</dcterms:modified>
</cp:coreProperties>
</file>