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SERVICES COMMUNATAIRE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tax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customs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lugage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 through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arrive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embark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 refund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travel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</w:t>
            </w:r>
          </w:p>
        </w:tc>
      </w:tr>
    </w:tbl>
    <w:p>
      <w:pPr>
        <w:pStyle w:val="WordBankLarge"/>
      </w:pPr>
      <w:r>
        <w:t xml:space="preserve">   Le douanier    </w:t>
      </w:r>
      <w:r>
        <w:t xml:space="preserve">   La douane    </w:t>
      </w:r>
      <w:r>
        <w:t xml:space="preserve">   Passer la duane    </w:t>
      </w:r>
      <w:r>
        <w:t xml:space="preserve">   Controler    </w:t>
      </w:r>
      <w:r>
        <w:t xml:space="preserve">   Fouiller    </w:t>
      </w:r>
      <w:r>
        <w:t xml:space="preserve">   Le sac de voyage    </w:t>
      </w:r>
      <w:r>
        <w:t xml:space="preserve">   La valise    </w:t>
      </w:r>
      <w:r>
        <w:t xml:space="preserve">   La malle    </w:t>
      </w:r>
      <w:r>
        <w:t xml:space="preserve">   Les bagages    </w:t>
      </w:r>
      <w:r>
        <w:t xml:space="preserve">   Declarer    </w:t>
      </w:r>
      <w:r>
        <w:t xml:space="preserve">   Faire detaxer    </w:t>
      </w:r>
      <w:r>
        <w:t xml:space="preserve">   Le bureau de detaxe    </w:t>
      </w:r>
      <w:r>
        <w:t xml:space="preserve">   Embarque    </w:t>
      </w:r>
      <w:r>
        <w:t xml:space="preserve">   Arriver    </w:t>
      </w:r>
      <w:r>
        <w:t xml:space="preserve">   Le port    </w:t>
      </w:r>
      <w:r>
        <w:t xml:space="preserve">   L' aeroport    </w:t>
      </w:r>
      <w:r>
        <w:t xml:space="preserve">   L' agence de voyages    </w:t>
      </w:r>
      <w:r>
        <w:t xml:space="preserve">   Appartenir a    </w:t>
      </w:r>
      <w:r>
        <w:t xml:space="preserve">   Le depart    </w:t>
      </w:r>
      <w:r>
        <w:t xml:space="preserve">   L' entree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COMMUNATAIRE</dc:title>
  <dcterms:created xsi:type="dcterms:W3CDTF">2021-10-11T16:31:10Z</dcterms:created>
  <dcterms:modified xsi:type="dcterms:W3CDTF">2021-10-11T16:31:10Z</dcterms:modified>
</cp:coreProperties>
</file>