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C O R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enterprise national    </w:t>
      </w:r>
      <w:r>
        <w:t xml:space="preserve">   avis budget    </w:t>
      </w:r>
      <w:r>
        <w:t xml:space="preserve">   travelodge    </w:t>
      </w:r>
      <w:r>
        <w:t xml:space="preserve">   millennium hotels    </w:t>
      </w:r>
      <w:r>
        <w:t xml:space="preserve">   radisson hotel group    </w:t>
      </w:r>
      <w:r>
        <w:t xml:space="preserve">   hilton hotels    </w:t>
      </w:r>
      <w:r>
        <w:t xml:space="preserve">   turkish airlines    </w:t>
      </w:r>
      <w:r>
        <w:t xml:space="preserve">   united air canada    </w:t>
      </w:r>
      <w:r>
        <w:t xml:space="preserve">   etihad airways    </w:t>
      </w:r>
      <w:r>
        <w:t xml:space="preserve">   virgin delta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C O R E</dc:title>
  <dcterms:created xsi:type="dcterms:W3CDTF">2021-10-11T15:54:31Z</dcterms:created>
  <dcterms:modified xsi:type="dcterms:W3CDTF">2021-10-11T15:54:31Z</dcterms:modified>
</cp:coreProperties>
</file>