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dementia    </w:t>
      </w:r>
      <w:r>
        <w:t xml:space="preserve">   Designated Safeguard Lead    </w:t>
      </w:r>
      <w:r>
        <w:t xml:space="preserve">   disclosure    </w:t>
      </w:r>
      <w:r>
        <w:t xml:space="preserve">   duty of care    </w:t>
      </w:r>
      <w:r>
        <w:t xml:space="preserve">   exploitation    </w:t>
      </w:r>
      <w:r>
        <w:t xml:space="preserve">   homelessness    </w:t>
      </w:r>
      <w:r>
        <w:t xml:space="preserve">   lacking mental capacity    </w:t>
      </w:r>
      <w:r>
        <w:t xml:space="preserve">   legislation    </w:t>
      </w:r>
      <w:r>
        <w:t xml:space="preserve">   physical abuse    </w:t>
      </w:r>
      <w:r>
        <w:t xml:space="preserve">   radicalisation    </w:t>
      </w:r>
      <w:r>
        <w:t xml:space="preserve">   safeguarding    </w:t>
      </w:r>
      <w:r>
        <w:t xml:space="preserve">   whistleblowing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2021-10-11T15:54:58Z</dcterms:created>
  <dcterms:modified xsi:type="dcterms:W3CDTF">2021-10-11T15:54:58Z</dcterms:modified>
</cp:coreProperties>
</file>