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Salesforecast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pricingpolicy    </w:t>
      </w:r>
      <w:r>
        <w:t xml:space="preserve">   executive    </w:t>
      </w:r>
      <w:r>
        <w:t xml:space="preserve">   contracts    </w:t>
      </w:r>
      <w:r>
        <w:t xml:space="preserve">   expect    </w:t>
      </w:r>
      <w:r>
        <w:t xml:space="preserve">   comparison    </w:t>
      </w:r>
      <w:r>
        <w:t xml:space="preserve">   pastsales    </w:t>
      </w:r>
      <w:r>
        <w:t xml:space="preserve">   competition    </w:t>
      </w:r>
      <w:r>
        <w:t xml:space="preserve">   factor    </w:t>
      </w:r>
      <w:r>
        <w:t xml:space="preserve">   estimate    </w:t>
      </w:r>
      <w:r>
        <w:t xml:space="preserve">   predict    </w:t>
      </w:r>
      <w:r>
        <w:t xml:space="preserve">   trend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Salesforecast</dc:title>
  <dcterms:created xsi:type="dcterms:W3CDTF">2021-10-11T15:59:22Z</dcterms:created>
  <dcterms:modified xsi:type="dcterms:W3CDTF">2021-10-11T15:59:22Z</dcterms:modified>
</cp:coreProperties>
</file>