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Scriptural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It was used for mortar by the early builders of Babylon (Genesis 11:3)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Jewish year of festival and liberty (Leviticus 25:10)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overseer must not be prone to this (Titus 1:7)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Ancient method of settling a matter at issue (Proverbs 16:33)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Midsummer month on Jewish calendar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To be indebted (Matthew 18:28)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“-- glad, you nations, with his people” (Romans 15:10)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sacred object placed in the hands of the high priest and used by him to ascertain the divine will (Numbers 27:21)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A son of Helem of the tribe of Asher (1 Chronicles 7:35)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As a sign from God, Gideon requested ------- for a fleece when there was dew on the ground (Judges 6:39)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Vocally (Luke 1:4)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A Roman Christian to whom Paul sent greetings (Romans 16:9)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Behave (Luke 6:31)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officer who arrested Jeremiah on the false charge of deserting to the Babylonians (Jeremiah 37:13, 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Arrangement for a meeting (Amos 3:3)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descendants of this son of Lot displayed violent enmity toward Israel (Judges 11:4)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Food rechewed by animals (Leviticus 11:3)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To enter for plunder (Matthew 12:29)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 A star-god (Amos 5:26)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Perverted (Acts 20:30)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counterpart (Luke 5:36)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postexilic Benjamite city (Nehemiah 11:32)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enter for plunder (Matthew 12:29)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Discerns (Luke 16:15)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Disgusting and loathsome thing (Matthew 24:15, King James Version)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feature of “the new personality” (Ephesians 4:24)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expels air (Jeremiah 6:29)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Wheel centers (1 Kings 7:33)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pass by which the armies of Moab and Ammon came to fight Judah during King Jehoshaphat’s reign (2 Chronicles 20:16)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Jesus metaphorically said the Pharisees did regarding a gnat (Matthew 23:24)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Judean father of Anub and Zobebah (1 Chronicles 4:8)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the hair on “the Ancient of Days” resembled (Daniel 7:9)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Discerns (Luke 16:15)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One of Levite Jaaziah’s four sons who served in King David’s time (1 Chronicles 24:27)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A faithful king of Judah (1 Kings 15:11)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A man who wished to continue as a slave indefinitely had this pierced through with an awl (Exodus 21:5,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 Name in Hebrew Scriptures for the Egyptian city of Memphis (Ezekiel 30:13)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Ruth’s first husband (Ruth 4:10)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 A city in the mountainous region of southern Judah (Joshua 15:50)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Length of time God’s covenant was to be “in force” after the appearance of the Messiah (Daniel 9:27)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Object thought to protect the wearer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Symbol of humiliation and grief (Lamentations 4:5)</w:t>
            </w:r>
          </w:p>
        </w:tc>
      </w:tr>
    </w:tbl>
    <w:p>
      <w:pPr>
        <w:pStyle w:val="WordBankLarge"/>
      </w:pPr>
      <w:r>
        <w:t xml:space="preserve">   Jubilee    </w:t>
      </w:r>
      <w:r>
        <w:t xml:space="preserve">   Loyalty    </w:t>
      </w:r>
      <w:r>
        <w:t xml:space="preserve">   IBri    </w:t>
      </w:r>
      <w:r>
        <w:t xml:space="preserve">   Wrath    </w:t>
      </w:r>
      <w:r>
        <w:t xml:space="preserve">   Urim    </w:t>
      </w:r>
      <w:r>
        <w:t xml:space="preserve">   Invade    </w:t>
      </w:r>
      <w:r>
        <w:t xml:space="preserve">   Breath    </w:t>
      </w:r>
      <w:r>
        <w:t xml:space="preserve">   Knows    </w:t>
      </w:r>
      <w:r>
        <w:t xml:space="preserve">   As    </w:t>
      </w:r>
      <w:r>
        <w:t xml:space="preserve">   Do    </w:t>
      </w:r>
      <w:r>
        <w:t xml:space="preserve">   Abomination     </w:t>
      </w:r>
      <w:r>
        <w:t xml:space="preserve">   Ab    </w:t>
      </w:r>
      <w:r>
        <w:t xml:space="preserve">   Be    </w:t>
      </w:r>
      <w:r>
        <w:t xml:space="preserve">   Ammon    </w:t>
      </w:r>
      <w:r>
        <w:t xml:space="preserve">   Strain    </w:t>
      </w:r>
      <w:r>
        <w:t xml:space="preserve">   Orally    </w:t>
      </w:r>
      <w:r>
        <w:t xml:space="preserve">   Amal    </w:t>
      </w:r>
      <w:r>
        <w:t xml:space="preserve">   Match    </w:t>
      </w:r>
      <w:r>
        <w:t xml:space="preserve">   Wool    </w:t>
      </w:r>
      <w:r>
        <w:t xml:space="preserve">   ANANIAH    </w:t>
      </w:r>
      <w:r>
        <w:t xml:space="preserve">   dryness     </w:t>
      </w:r>
      <w:r>
        <w:t xml:space="preserve">   Urbanus    </w:t>
      </w:r>
      <w:r>
        <w:t xml:space="preserve">   Irijah    </w:t>
      </w:r>
      <w:r>
        <w:t xml:space="preserve">   Ear    </w:t>
      </w:r>
      <w:r>
        <w:t xml:space="preserve">   Lot    </w:t>
      </w:r>
      <w:r>
        <w:t xml:space="preserve">   AMULET    </w:t>
      </w:r>
      <w:r>
        <w:t xml:space="preserve">   Twisted    </w:t>
      </w:r>
      <w:r>
        <w:t xml:space="preserve">   Week    </w:t>
      </w:r>
      <w:r>
        <w:t xml:space="preserve">   Appointment    </w:t>
      </w:r>
      <w:r>
        <w:t xml:space="preserve">   Hubs    </w:t>
      </w:r>
      <w:r>
        <w:t xml:space="preserve">   Asa    </w:t>
      </w:r>
      <w:r>
        <w:t xml:space="preserve">   Koz    </w:t>
      </w:r>
      <w:r>
        <w:t xml:space="preserve">   Ziz    </w:t>
      </w:r>
      <w:r>
        <w:t xml:space="preserve">   Owe    </w:t>
      </w:r>
      <w:r>
        <w:t xml:space="preserve">   BITUMEN    </w:t>
      </w:r>
      <w:r>
        <w:t xml:space="preserve">   BELLOWS    </w:t>
      </w:r>
      <w:r>
        <w:t xml:space="preserve">   MAHLON    </w:t>
      </w:r>
      <w:r>
        <w:t xml:space="preserve">   ANIM    </w:t>
      </w:r>
      <w:r>
        <w:t xml:space="preserve">   NOPH    </w:t>
      </w:r>
      <w:r>
        <w:t xml:space="preserve">   KAIWAN    </w:t>
      </w:r>
      <w:r>
        <w:t xml:space="preserve">   Ash    </w:t>
      </w:r>
      <w:r>
        <w:t xml:space="preserve">   Cud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Scriptural puzzle </dc:title>
  <dcterms:created xsi:type="dcterms:W3CDTF">2021-10-11T16:23:06Z</dcterms:created>
  <dcterms:modified xsi:type="dcterms:W3CDTF">2021-10-11T16:23:06Z</dcterms:modified>
</cp:coreProperties>
</file>