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Self-Determination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internal desire    </w:t>
      </w:r>
      <w:r>
        <w:t xml:space="preserve">   performance    </w:t>
      </w:r>
      <w:r>
        <w:t xml:space="preserve">   initiative    </w:t>
      </w:r>
      <w:r>
        <w:t xml:space="preserve">   evaluation    </w:t>
      </w:r>
      <w:r>
        <w:t xml:space="preserve">   cognitive    </w:t>
      </w:r>
      <w:r>
        <w:t xml:space="preserve">   determination    </w:t>
      </w:r>
      <w:r>
        <w:t xml:space="preserve">   extrinsic    </w:t>
      </w:r>
      <w:r>
        <w:t xml:space="preserve">   fulfillment    </w:t>
      </w:r>
      <w:r>
        <w:t xml:space="preserve">   intrinsic    </w:t>
      </w:r>
      <w:r>
        <w:t xml:space="preserve">   motivation    </w:t>
      </w:r>
      <w:r>
        <w:t xml:space="preserve">   reward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Self-Determination Theory</dc:title>
  <dcterms:created xsi:type="dcterms:W3CDTF">2021-10-11T16:26:55Z</dcterms:created>
  <dcterms:modified xsi:type="dcterms:W3CDTF">2021-10-11T16:26:55Z</dcterms:modified>
</cp:coreProperties>
</file>