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Sexually Transmitted Infection Defects (Chlamydia)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Nausea    </w:t>
      </w:r>
      <w:r>
        <w:t xml:space="preserve">   after birth    </w:t>
      </w:r>
      <w:r>
        <w:t xml:space="preserve">   STI    </w:t>
      </w:r>
      <w:r>
        <w:t xml:space="preserve">   fifty percent    </w:t>
      </w:r>
      <w:r>
        <w:t xml:space="preserve">   infection    </w:t>
      </w:r>
      <w:r>
        <w:t xml:space="preserve">   swollen red eyes    </w:t>
      </w:r>
      <w:r>
        <w:t xml:space="preserve">   environmental    </w:t>
      </w:r>
      <w:r>
        <w:t xml:space="preserve">   antibiotics    </w:t>
      </w:r>
      <w:r>
        <w:t xml:space="preserve">   chlamydia    </w:t>
      </w:r>
      <w:r>
        <w:t xml:space="preserve">   pneumonia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Sexually Transmitted Infection Defects (Chlamydia)</dc:title>
  <dcterms:created xsi:type="dcterms:W3CDTF">2021-10-11T16:34:17Z</dcterms:created>
  <dcterms:modified xsi:type="dcterms:W3CDTF">2021-10-11T16:34:17Z</dcterms:modified>
</cp:coreProperties>
</file>