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 Injuries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instability    </w:t>
      </w:r>
      <w:r>
        <w:t xml:space="preserve">   bursitis    </w:t>
      </w:r>
      <w:r>
        <w:t xml:space="preserve">   Glenoid labrum tear    </w:t>
      </w:r>
      <w:r>
        <w:t xml:space="preserve">   Subacromial bursitis    </w:t>
      </w:r>
      <w:r>
        <w:t xml:space="preserve">   Frozen shoulder    </w:t>
      </w:r>
      <w:r>
        <w:t xml:space="preserve">   Fractured scapula    </w:t>
      </w:r>
      <w:r>
        <w:t xml:space="preserve">   dislocation    </w:t>
      </w:r>
      <w:r>
        <w:t xml:space="preserve">   Arthritis    </w:t>
      </w:r>
      <w:r>
        <w:t xml:space="preserve">   rotator cuff tear    </w:t>
      </w:r>
      <w:r>
        <w:t xml:space="preserve">   clavicle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Injuries </dc:title>
  <dcterms:created xsi:type="dcterms:W3CDTF">2021-10-11T16:39:59Z</dcterms:created>
  <dcterms:modified xsi:type="dcterms:W3CDTF">2021-10-11T16:39:59Z</dcterms:modified>
</cp:coreProperties>
</file>