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Conditions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Vascular lesions    </w:t>
      </w:r>
      <w:r>
        <w:t xml:space="preserve">   Acne Irritants    </w:t>
      </w:r>
      <w:r>
        <w:t xml:space="preserve">   Sun Exposure    </w:t>
      </w:r>
      <w:r>
        <w:t xml:space="preserve">   Triggers    </w:t>
      </w:r>
      <w:r>
        <w:t xml:space="preserve">   Bacteria    </w:t>
      </w:r>
      <w:r>
        <w:t xml:space="preserve">   Clogged Follicles    </w:t>
      </w:r>
      <w:r>
        <w:t xml:space="preserve">   heredity    </w:t>
      </w:r>
      <w:r>
        <w:t xml:space="preserve">   Genetics    </w:t>
      </w:r>
      <w:r>
        <w:t xml:space="preserve">   Annually    </w:t>
      </w:r>
      <w:r>
        <w:t xml:space="preserve">   HIstamines    </w:t>
      </w:r>
      <w:r>
        <w:t xml:space="preserve">   Primary Lesions    </w:t>
      </w:r>
      <w:r>
        <w:t xml:space="preserve">   Secondary Lesions    </w:t>
      </w:r>
      <w:r>
        <w:t xml:space="preserve">   Increased Sebum    </w:t>
      </w:r>
      <w:r>
        <w:t xml:space="preserve">   Grade Four    </w:t>
      </w:r>
      <w:r>
        <w:t xml:space="preserve">   Grade Three    </w:t>
      </w:r>
      <w:r>
        <w:t xml:space="preserve">   Grade Two    </w:t>
      </w:r>
      <w:r>
        <w:t xml:space="preserve">   Grade One    </w:t>
      </w:r>
      <w:r>
        <w:t xml:space="preserve">   Red Dye    </w:t>
      </w:r>
      <w:r>
        <w:t xml:space="preserve">   Melasma    </w:t>
      </w:r>
      <w:r>
        <w:t xml:space="preserve">   Trentinion    </w:t>
      </w:r>
      <w:r>
        <w:t xml:space="preserve">   Sebaceous Filaments    </w:t>
      </w:r>
      <w:r>
        <w:t xml:space="preserve">   Steatomas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 Review</dc:title>
  <dcterms:created xsi:type="dcterms:W3CDTF">2021-10-11T16:48:44Z</dcterms:created>
  <dcterms:modified xsi:type="dcterms:W3CDTF">2021-10-11T16:48:44Z</dcterms:modified>
</cp:coreProperties>
</file>