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Influences of CMHPs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illness    </w:t>
      </w:r>
      <w:r>
        <w:t xml:space="preserve">   pressure    </w:t>
      </w:r>
      <w:r>
        <w:t xml:space="preserve">   trauma    </w:t>
      </w:r>
      <w:r>
        <w:t xml:space="preserve">   expectations    </w:t>
      </w:r>
      <w:r>
        <w:t xml:space="preserve">   weight    </w:t>
      </w:r>
      <w:r>
        <w:t xml:space="preserve">   study    </w:t>
      </w:r>
      <w:r>
        <w:t xml:space="preserve">   time    </w:t>
      </w:r>
      <w:r>
        <w:t xml:space="preserve">   breakup    </w:t>
      </w:r>
      <w:r>
        <w:t xml:space="preserve">   finance    </w:t>
      </w:r>
      <w:r>
        <w:t xml:space="preserve">   partners    </w:t>
      </w:r>
      <w:r>
        <w:t xml:space="preserve">   children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Influences of CMHPs</dc:title>
  <dcterms:created xsi:type="dcterms:W3CDTF">2021-10-11T16:56:00Z</dcterms:created>
  <dcterms:modified xsi:type="dcterms:W3CDTF">2021-10-11T16:56:00Z</dcterms:modified>
</cp:coreProperties>
</file>