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&amp; 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diagnosis    </w:t>
      </w:r>
      <w:r>
        <w:t xml:space="preserve">   addictive    </w:t>
      </w:r>
      <w:r>
        <w:t xml:space="preserve">   adolescents    </w:t>
      </w:r>
      <w:r>
        <w:t xml:space="preserve">   behaviour    </w:t>
      </w:r>
      <w:r>
        <w:t xml:space="preserve">   covid-19    </w:t>
      </w:r>
      <w:r>
        <w:t xml:space="preserve">   cyber bullying    </w:t>
      </w:r>
      <w:r>
        <w:t xml:space="preserve">   invulnerable    </w:t>
      </w:r>
      <w:r>
        <w:t xml:space="preserve">   partially    </w:t>
      </w:r>
      <w:r>
        <w:t xml:space="preserve">   relationships    </w:t>
      </w:r>
      <w:r>
        <w:t xml:space="preserve">   social media    </w:t>
      </w:r>
      <w:r>
        <w:t xml:space="preserve">   transmission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&amp; Covid-19</dc:title>
  <dcterms:created xsi:type="dcterms:W3CDTF">2021-10-11T16:56:41Z</dcterms:created>
  <dcterms:modified xsi:type="dcterms:W3CDTF">2021-10-11T16:56:41Z</dcterms:modified>
</cp:coreProperties>
</file>