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Responsibility Of Business And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Antitrust Laws    </w:t>
      </w:r>
      <w:r>
        <w:t xml:space="preserve">   Business    </w:t>
      </w:r>
      <w:r>
        <w:t xml:space="preserve">   Contract    </w:t>
      </w:r>
      <w:r>
        <w:t xml:space="preserve">   Copyright    </w:t>
      </w:r>
      <w:r>
        <w:t xml:space="preserve">   Government    </w:t>
      </w:r>
      <w:r>
        <w:t xml:space="preserve">   Monopoly    </w:t>
      </w:r>
      <w:r>
        <w:t xml:space="preserve">   Patent    </w:t>
      </w:r>
      <w:r>
        <w:t xml:space="preserve">   Profit    </w:t>
      </w:r>
      <w:r>
        <w:t xml:space="preserve">   public utility    </w:t>
      </w:r>
      <w:r>
        <w:t xml:space="preserve">   Taxes    </w:t>
      </w:r>
      <w:r>
        <w:t xml:space="preserve">   Trademark    </w:t>
      </w:r>
      <w:r>
        <w:t xml:space="preserve">   Worker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Responsibility Of Business And Government </dc:title>
  <dcterms:created xsi:type="dcterms:W3CDTF">2021-10-11T16:56:55Z</dcterms:created>
  <dcterms:modified xsi:type="dcterms:W3CDTF">2021-10-11T16:56:55Z</dcterms:modified>
</cp:coreProperties>
</file>