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Standard of living    </w:t>
      </w:r>
      <w:r>
        <w:t xml:space="preserve">   Gross domestic product    </w:t>
      </w:r>
      <w:r>
        <w:t xml:space="preserve">   Entrepreneurs    </w:t>
      </w:r>
      <w:r>
        <w:t xml:space="preserve">   Natural resources    </w:t>
      </w:r>
      <w:r>
        <w:t xml:space="preserve">   Capital goods    </w:t>
      </w:r>
      <w:r>
        <w:t xml:space="preserve">   Human capital    </w:t>
      </w:r>
      <w:r>
        <w:t xml:space="preserve">   Mixed economy    </w:t>
      </w:r>
      <w:r>
        <w:t xml:space="preserve">   Market economy    </w:t>
      </w:r>
      <w:r>
        <w:t xml:space="preserve">   Command economy    </w:t>
      </w:r>
      <w:r>
        <w:t xml:space="preserve">   Bartering    </w:t>
      </w:r>
      <w:r>
        <w:t xml:space="preserve">   Traditional economy    </w:t>
      </w:r>
      <w:r>
        <w:t xml:space="preserve">   Economic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</dc:title>
  <dcterms:created xsi:type="dcterms:W3CDTF">2021-10-11T16:58:31Z</dcterms:created>
  <dcterms:modified xsi:type="dcterms:W3CDTF">2021-10-11T16:58:31Z</dcterms:modified>
</cp:coreProperties>
</file>