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Principal under which separate branches are empowered to prevent actions by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Georgia’s flag principles start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law concerned with the punishment of those who commit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Comes at the beginning of the GSC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civic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system of law concerned with private relations between two individuals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Georgia’s flag principles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governor refuses as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elect new governors presidents 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local or a judicial election in which candidates are not selected nor endorsed by political parties and party affiliation is not listed on ballots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10 amendments of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officer of state after the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to express yourself freedom to worship as you wish right to prompt  fair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limited jurisdiction with regard to civil and criminal legal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division of government responsibilities into distinct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Articles added to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Handles federal and constitutional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regular election of candidates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Georgia flag principal starts with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11 articles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Bill of rights    </w:t>
      </w:r>
      <w:r>
        <w:t xml:space="preserve">   Preamble     </w:t>
      </w:r>
      <w:r>
        <w:t xml:space="preserve">   Veto    </w:t>
      </w:r>
      <w:r>
        <w:t xml:space="preserve">    Civil law    </w:t>
      </w:r>
      <w:r>
        <w:t xml:space="preserve">   Criminal law    </w:t>
      </w:r>
      <w:r>
        <w:t xml:space="preserve">   General elections    </w:t>
      </w:r>
      <w:r>
        <w:t xml:space="preserve">   GSC    </w:t>
      </w:r>
      <w:r>
        <w:t xml:space="preserve">   Separation of powers    </w:t>
      </w:r>
      <w:r>
        <w:t xml:space="preserve">   Checks and balances    </w:t>
      </w:r>
      <w:r>
        <w:t xml:space="preserve">   voting     </w:t>
      </w:r>
      <w:r>
        <w:t xml:space="preserve">   wisdom    </w:t>
      </w:r>
      <w:r>
        <w:t xml:space="preserve">   Justice    </w:t>
      </w:r>
      <w:r>
        <w:t xml:space="preserve">   Moderation    </w:t>
      </w:r>
      <w:r>
        <w:t xml:space="preserve">    lieutenant governor    </w:t>
      </w:r>
      <w:r>
        <w:t xml:space="preserve">   supreme court    </w:t>
      </w:r>
      <w:r>
        <w:t xml:space="preserve">   Superior court    </w:t>
      </w:r>
      <w:r>
        <w:t xml:space="preserve">   Nonpartisan    </w:t>
      </w:r>
      <w:r>
        <w:t xml:space="preserve">   Jury     </w:t>
      </w:r>
      <w:r>
        <w:t xml:space="preserve">   Rights of a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2021-10-11T16:58:51Z</dcterms:created>
  <dcterms:modified xsi:type="dcterms:W3CDTF">2021-10-11T16:58:51Z</dcterms:modified>
</cp:coreProperties>
</file>