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Spanish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Orale    </w:t>
      </w:r>
      <w:r>
        <w:t xml:space="preserve">   Bailar    </w:t>
      </w:r>
      <w:r>
        <w:t xml:space="preserve">   Apostamos    </w:t>
      </w:r>
      <w:r>
        <w:t xml:space="preserve">   La Abuelita    </w:t>
      </w:r>
      <w:r>
        <w:t xml:space="preserve">   Yo viajo solo    </w:t>
      </w:r>
      <w:r>
        <w:t xml:space="preserve">   El viernes    </w:t>
      </w:r>
      <w:r>
        <w:t xml:space="preserve">   el lunes    </w:t>
      </w:r>
      <w:r>
        <w:t xml:space="preserve">   La pizzeria    </w:t>
      </w:r>
      <w:r>
        <w:t xml:space="preserve">   Mi Nino    </w:t>
      </w:r>
      <w:r>
        <w:t xml:space="preserve">   Correle    </w:t>
      </w:r>
      <w:r>
        <w:t xml:space="preserve">   Cruzar    </w:t>
      </w:r>
      <w:r>
        <w:t xml:space="preserve">   La escuela primaria    </w:t>
      </w:r>
      <w:r>
        <w:t xml:space="preserve">   Te quiero    </w:t>
      </w:r>
      <w:r>
        <w:t xml:space="preserve">   Vente    </w:t>
      </w:r>
      <w:r>
        <w:t xml:space="preserve">   Los muchachitos    </w:t>
      </w:r>
      <w:r>
        <w:t xml:space="preserve">   El Domingo    </w:t>
      </w:r>
      <w:r>
        <w:t xml:space="preserve">   La esquina    </w:t>
      </w:r>
      <w:r>
        <w:t xml:space="preserve">   Los chicanos    </w:t>
      </w:r>
      <w:r>
        <w:t xml:space="preserve">   El coyote    </w:t>
      </w:r>
      <w:r>
        <w:t xml:space="preserve">   El mural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</dc:title>
  <dcterms:created xsi:type="dcterms:W3CDTF">2021-10-11T17:11:42Z</dcterms:created>
  <dcterms:modified xsi:type="dcterms:W3CDTF">2021-10-11T17:11:42Z</dcterms:modified>
</cp:coreProperties>
</file>