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Colaborar    </w:t>
      </w:r>
      <w:r>
        <w:t xml:space="preserve">   Donar    </w:t>
      </w:r>
      <w:r>
        <w:t xml:space="preserve">   El ciudadano    </w:t>
      </w:r>
      <w:r>
        <w:t xml:space="preserve">   El hogar de ancianos    </w:t>
      </w:r>
      <w:r>
        <w:t xml:space="preserve">   El servicio social    </w:t>
      </w:r>
      <w:r>
        <w:t xml:space="preserve">   El trabajo voluntario    </w:t>
      </w:r>
      <w:r>
        <w:t xml:space="preserve">   La causa    </w:t>
      </w:r>
      <w:r>
        <w:t xml:space="preserve">   La gente sin hogar    </w:t>
      </w:r>
      <w:r>
        <w:t xml:space="preserve">   La ley    </w:t>
      </w:r>
      <w:r>
        <w:t xml:space="preserve">   Sembrar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2021-10-11T17:10:33Z</dcterms:created>
  <dcterms:modified xsi:type="dcterms:W3CDTF">2021-10-11T17:10:33Z</dcterms:modified>
</cp:coreProperties>
</file>