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meet/to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gift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caminar    </w:t>
      </w:r>
      <w:r>
        <w:t xml:space="preserve">   acabar de    </w:t>
      </w:r>
      <w:r>
        <w:t xml:space="preserve">   contar    </w:t>
      </w:r>
      <w:r>
        <w:t xml:space="preserve">   gustarse    </w:t>
      </w:r>
      <w:r>
        <w:t xml:space="preserve">   aprender    </w:t>
      </w:r>
      <w:r>
        <w:t xml:space="preserve">   preguntar    </w:t>
      </w:r>
      <w:r>
        <w:t xml:space="preserve">   dormir    </w:t>
      </w:r>
      <w:r>
        <w:t xml:space="preserve">   traer    </w:t>
      </w:r>
      <w:r>
        <w:t xml:space="preserve">   poder    </w:t>
      </w:r>
      <w:r>
        <w:t xml:space="preserve">   oir    </w:t>
      </w:r>
      <w:r>
        <w:t xml:space="preserve">   parar    </w:t>
      </w:r>
      <w:r>
        <w:t xml:space="preserve">   esperar    </w:t>
      </w:r>
      <w:r>
        <w:t xml:space="preserve">   decir    </w:t>
      </w:r>
      <w:r>
        <w:t xml:space="preserve">   saber    </w:t>
      </w:r>
      <w:r>
        <w:t xml:space="preserve">   ver    </w:t>
      </w:r>
      <w:r>
        <w:t xml:space="preserve">   dar    </w:t>
      </w:r>
      <w:r>
        <w:t xml:space="preserve">   sentar    </w:t>
      </w:r>
      <w:r>
        <w:t xml:space="preserve">   pagar    </w:t>
      </w:r>
      <w:r>
        <w:t xml:space="preserve">   venir    </w:t>
      </w:r>
      <w:r>
        <w:t xml:space="preserve">   correr    </w:t>
      </w:r>
      <w:r>
        <w:t xml:space="preserve">   olvidar    </w:t>
      </w:r>
      <w:r>
        <w:t xml:space="preserve">   conocer    </w:t>
      </w:r>
      <w:r>
        <w:t xml:space="preserve">   saludar    </w:t>
      </w:r>
      <w:r>
        <w:t xml:space="preserve">   iniciar    </w:t>
      </w:r>
      <w:r>
        <w:t xml:space="preserve">   regalar    </w:t>
      </w:r>
      <w:r>
        <w:t xml:space="preserve">   mezcalarse    </w:t>
      </w:r>
      <w:r>
        <w:t xml:space="preserve">   llegar    </w:t>
      </w:r>
      <w:r>
        <w:t xml:space="preserve">   salir    </w:t>
      </w:r>
      <w:r>
        <w:t xml:space="preserve">   buscar    </w:t>
      </w:r>
      <w:r>
        <w:t xml:space="preserve">   mandcer     </w:t>
      </w:r>
      <w:r>
        <w:t xml:space="preserve">   escoger    </w:t>
      </w:r>
      <w:r>
        <w:t xml:space="preserve">   cantar    </w:t>
      </w:r>
      <w:r>
        <w:t xml:space="preserve">   jugar    </w:t>
      </w:r>
      <w:r>
        <w:t xml:space="preserve">   ganar    </w:t>
      </w:r>
      <w:r>
        <w:t xml:space="preserve">   enviar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2021-10-11T17:17:19Z</dcterms:created>
  <dcterms:modified xsi:type="dcterms:W3CDTF">2021-10-11T17:17:19Z</dcterms:modified>
</cp:coreProperties>
</file>