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spare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steering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windshield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windshield wipers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front seat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accelerator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rear view 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bumper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horn</w:t>
            </w:r>
          </w:p>
        </w:tc>
      </w:tr>
    </w:tbl>
    <w:p>
      <w:pPr>
        <w:pStyle w:val="WordBankLarge"/>
      </w:pPr>
      <w:r>
        <w:t xml:space="preserve">   la bocina    </w:t>
      </w:r>
      <w:r>
        <w:t xml:space="preserve">   el interrmitente     </w:t>
      </w:r>
      <w:r>
        <w:t xml:space="preserve">   el maletero    </w:t>
      </w:r>
      <w:r>
        <w:t xml:space="preserve">   las llaves    </w:t>
      </w:r>
      <w:r>
        <w:t xml:space="preserve">   el deposito de gasolina     </w:t>
      </w:r>
      <w:r>
        <w:t xml:space="preserve">   el gato     </w:t>
      </w:r>
      <w:r>
        <w:t xml:space="preserve">   las luces    </w:t>
      </w:r>
      <w:r>
        <w:t xml:space="preserve">   el parachoques     </w:t>
      </w:r>
      <w:r>
        <w:t xml:space="preserve">   el freno    </w:t>
      </w:r>
      <w:r>
        <w:t xml:space="preserve">   el acelerador     </w:t>
      </w:r>
      <w:r>
        <w:t xml:space="preserve">   el cinturon de seguridad    </w:t>
      </w:r>
      <w:r>
        <w:t xml:space="preserve">   el neumatico    </w:t>
      </w:r>
      <w:r>
        <w:t xml:space="preserve">   el asiento trasero    </w:t>
      </w:r>
      <w:r>
        <w:t xml:space="preserve">   el asiento delantero    </w:t>
      </w:r>
      <w:r>
        <w:t xml:space="preserve">   el volante    </w:t>
      </w:r>
      <w:r>
        <w:t xml:space="preserve">   el espejo retrovisor    </w:t>
      </w:r>
      <w:r>
        <w:t xml:space="preserve">   el parabrisas     </w:t>
      </w:r>
      <w:r>
        <w:t xml:space="preserve">   el limpia parabrisas     </w:t>
      </w:r>
      <w:r>
        <w:t xml:space="preserve">   el capo    </w:t>
      </w:r>
      <w:r>
        <w:t xml:space="preserve">   la rueda de repuesto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puzzle </dc:title>
  <dcterms:created xsi:type="dcterms:W3CDTF">2021-10-11T17:22:16Z</dcterms:created>
  <dcterms:modified xsi:type="dcterms:W3CDTF">2021-10-11T17:22:16Z</dcterms:modified>
</cp:coreProperties>
</file>