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 Lesson 19 1st Grade Bilingual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wheel    </w:t>
      </w:r>
      <w:r>
        <w:t xml:space="preserve">   think    </w:t>
      </w:r>
      <w:r>
        <w:t xml:space="preserve">   then    </w:t>
      </w:r>
      <w:r>
        <w:t xml:space="preserve">   whip    </w:t>
      </w:r>
      <w:r>
        <w:t xml:space="preserve">   bath    </w:t>
      </w:r>
      <w:r>
        <w:t xml:space="preserve">   them    </w:t>
      </w:r>
      <w:r>
        <w:t xml:space="preserve">   this    </w:t>
      </w:r>
      <w:r>
        <w:t xml:space="preserve">   when    </w:t>
      </w:r>
      <w:r>
        <w:t xml:space="preserve">   path    </w:t>
      </w:r>
      <w:r>
        <w:t xml:space="preserve">   which    </w:t>
      </w:r>
      <w:r>
        <w:t xml:space="preserve">   with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 Lesson 19 1st Grade Bilingual</dc:title>
  <dcterms:created xsi:type="dcterms:W3CDTF">2021-10-11T17:25:49Z</dcterms:created>
  <dcterms:modified xsi:type="dcterms:W3CDTF">2021-10-11T17:25:49Z</dcterms:modified>
</cp:coreProperties>
</file>