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III: Health and Well-Being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strategies    </w:t>
      </w:r>
      <w:r>
        <w:t xml:space="preserve">   diversity    </w:t>
      </w:r>
      <w:r>
        <w:t xml:space="preserve">   legislation    </w:t>
      </w:r>
      <w:r>
        <w:t xml:space="preserve">   inclusion    </w:t>
      </w:r>
      <w:r>
        <w:t xml:space="preserve">   policies    </w:t>
      </w:r>
      <w:r>
        <w:t xml:space="preserve">   accessible    </w:t>
      </w:r>
      <w:r>
        <w:t xml:space="preserve">   well-being    </w:t>
      </w:r>
      <w:r>
        <w:t xml:space="preserve">   health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III: Health and Well-Being</dc:title>
  <dcterms:created xsi:type="dcterms:W3CDTF">2021-10-11T17:58:32Z</dcterms:created>
  <dcterms:modified xsi:type="dcterms:W3CDTF">2021-10-11T17:58:32Z</dcterms:modified>
</cp:coreProperties>
</file>