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and Merchandising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high pressure    </w:t>
      </w:r>
      <w:r>
        <w:t xml:space="preserve">   advertising    </w:t>
      </w:r>
      <w:r>
        <w:t xml:space="preserve">   customers    </w:t>
      </w:r>
      <w:r>
        <w:t xml:space="preserve">   door-to-door    </w:t>
      </w:r>
      <w:r>
        <w:t xml:space="preserve">   product promotion    </w:t>
      </w:r>
      <w:r>
        <w:t xml:space="preserve">   telemarketer    </w:t>
      </w:r>
      <w:r>
        <w:t xml:space="preserve">   sales reps    </w:t>
      </w:r>
      <w:r>
        <w:t xml:space="preserve">   broker    </w:t>
      </w:r>
      <w:r>
        <w:t xml:space="preserve">   trade    </w:t>
      </w:r>
      <w:r>
        <w:t xml:space="preserve">   merchandise    </w:t>
      </w:r>
      <w:r>
        <w:t xml:space="preserve">   bonds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and Merchandising</dc:title>
  <dcterms:created xsi:type="dcterms:W3CDTF">2021-10-11T18:03:58Z</dcterms:created>
  <dcterms:modified xsi:type="dcterms:W3CDTF">2021-10-11T18:03:58Z</dcterms:modified>
</cp:coreProperties>
</file>