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StreetLaw Ch1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billofrights    </w:t>
      </w:r>
      <w:r>
        <w:t xml:space="preserve">   judicialreview    </w:t>
      </w:r>
      <w:r>
        <w:t xml:space="preserve">   checksandbalances    </w:t>
      </w:r>
      <w:r>
        <w:t xml:space="preserve">   separationofpowers    </w:t>
      </w:r>
      <w:r>
        <w:t xml:space="preserve">   limitedgovernment    </w:t>
      </w:r>
      <w:r>
        <w:t xml:space="preserve">   preponderanceofevidence    </w:t>
      </w:r>
      <w:r>
        <w:t xml:space="preserve">   beyondareasonabledoubt    </w:t>
      </w:r>
      <w:r>
        <w:t xml:space="preserve">   civilaction    </w:t>
      </w:r>
      <w:r>
        <w:t xml:space="preserve">   civillaw    </w:t>
      </w:r>
      <w:r>
        <w:t xml:space="preserve">   criminallaw    </w:t>
      </w:r>
      <w:r>
        <w:t xml:space="preserve">   humanrights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StreetLaw Ch1</dc:title>
  <dcterms:created xsi:type="dcterms:W3CDTF">2021-10-11T18:06:26Z</dcterms:created>
  <dcterms:modified xsi:type="dcterms:W3CDTF">2021-10-11T18:06:26Z</dcterms:modified>
</cp:coreProperties>
</file>