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Strengths and Weaknesses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Quality of Life    </w:t>
      </w:r>
      <w:r>
        <w:t xml:space="preserve">   Mindfulness    </w:t>
      </w:r>
      <w:r>
        <w:t xml:space="preserve">   Maslow    </w:t>
      </w:r>
      <w:r>
        <w:t xml:space="preserve">   Seligman    </w:t>
      </w:r>
      <w:r>
        <w:t xml:space="preserve">   Authentic strengths    </w:t>
      </w:r>
      <w:r>
        <w:t xml:space="preserve">   Ethnocentric    </w:t>
      </w:r>
      <w:r>
        <w:t xml:space="preserve">   Humanistic    </w:t>
      </w:r>
      <w:r>
        <w:t xml:space="preserve">   Applications    </w:t>
      </w:r>
      <w:r>
        <w:t xml:space="preserve">   Individual differences    </w:t>
      </w:r>
      <w:r>
        <w:t xml:space="preserve">   Free will    </w:t>
      </w:r>
      <w:r>
        <w:t xml:space="preserve">   Subjective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Strengths and Weaknesses </dc:title>
  <dcterms:created xsi:type="dcterms:W3CDTF">2021-11-03T03:47:45Z</dcterms:created>
  <dcterms:modified xsi:type="dcterms:W3CDTF">2021-11-03T03:47:45Z</dcterms:modified>
</cp:coreProperties>
</file>